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91"/>
        <w:tblW w:w="0" w:type="auto"/>
        <w:tblLook w:val="04A0" w:firstRow="1" w:lastRow="0" w:firstColumn="1" w:lastColumn="0" w:noHBand="0" w:noVBand="1"/>
      </w:tblPr>
      <w:tblGrid>
        <w:gridCol w:w="7285"/>
        <w:gridCol w:w="7285"/>
      </w:tblGrid>
      <w:tr>
        <w:tblPrEx/>
        <w:trPr/>
        <w:tc>
          <w:tcPr>
            <w:gridSpan w:val="2"/>
            <w:tcW w:w="14570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</w:rPr>
              <w:t xml:space="preserve">Программа Дней креативной экономики 28-30.10.2026, г. Санкт-Петербург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highlight w:val="none"/>
              </w:rPr>
            </w:r>
          </w:p>
        </w:tc>
      </w:tr>
      <w:tr>
        <w:tblPrEx/>
        <w:trPr/>
        <w:tc>
          <w:tcPr>
            <w:gridSpan w:val="2"/>
            <w:tcW w:w="14570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28.10.2026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r>
          </w:p>
        </w:tc>
      </w:tr>
      <w:tr>
        <w:tblPrEx/>
        <w:trPr/>
        <w:tc>
          <w:tcPr>
            <w:tcW w:w="728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3f3f3" w:fill="f3f3f3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</w:rPr>
              <w:t xml:space="preserve">КРЕАТИВНЫЙ КОД. ТЕХНОЛОГИИ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7"/>
              </w:rPr>
              <w:t xml:space="preserve">Место проведения: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7"/>
              </w:rPr>
              <w:t xml:space="preserve">Лахта Центр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7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728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shd w:val="clear" w:color="f3f3f3" w:fill="f3f3f3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</w:rPr>
              <w:t xml:space="preserve">МОЛОДЕЖНЫЙ ДЕНЬ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7"/>
              </w:rPr>
              <w:t xml:space="preserve">Место проведения: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7"/>
              </w:rPr>
              <w:t xml:space="preserve"> Raskroi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jc w:val="both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r>
          </w:p>
        </w:tc>
      </w:tr>
      <w:tr>
        <w:tblPrEx/>
        <w:trPr/>
        <w:tc>
          <w:tcPr>
            <w:gridSpan w:val="2"/>
            <w:tcW w:w="14570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center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</w:rPr>
              <w:t xml:space="preserve">29.10.2026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highlight w:val="none"/>
              </w:rPr>
            </w:r>
          </w:p>
        </w:tc>
      </w:tr>
      <w:tr>
        <w:tblPrEx/>
        <w:trPr/>
        <w:tc>
          <w:tcPr>
            <w:tcW w:w="728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highlight w:val="yellow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КРЕАТИВНЫЙ КАПИТАЛ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  <w:highlight w:val="yellow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  <w:highlight w:val="yellow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Трек посвящен макроэкономическому измерению креативных индустрий. Рассматриваются вопросы закрепления креативных индустрий в законодательстве, вклад креативного сектора в ВВП, вопросы человеческого капитала, налоговые преференции и механизмы государственно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-частного партнерства. Ключевая задача — показать креативный сектор как полноценный актив национальной экономики, требующий особых инструментов.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НОВЫЙ МЕЖОТРАСЛЕВОЙ БАЛАНС: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 КРЕАТИВНЫЕ ИНДУСТРИИ КАК ИНСТРУМЕНТ РАЗВИТИЯ ЭКОНОМИКИ СТРАНЫ</w:t>
              <w:br/>
              <w:t xml:space="preserve">(ОТЕЧЕСТВЕННЫЕ И ЗАРУБЕЖНЫЕ ПРАКТИКИ)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КРЕАТИВНОЕ ОБРАЗОВАНИЕ И КАДРЫ: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КОРПОРАТИВНОЕ ОБУЧЕНИЕ, ПЕРЕКВАЛИФИКАЦИЯ И НОВЫЕ ПРОФЕССИИ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ОТ СТАРТА К РЫНКУ: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КАК ДОЛЖНА РАБОТАТЬ ПОДДЕРЖКА КРЕАТИВНЫХ ИНДУСТРИЙ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  <w:szCs w:val="21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highlight w:val="yellow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СЦЕНАРИИ РАЗВИТИЯ КРЕАТИВНЫХ ИНДУСТРИЙ 2050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yellow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yellow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  <w:sz w:val="2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Визионерский трек, сфокусированный на долгосрочном прогнозировании (до 2030–2050 гг.) и анализе глобальных мегатрендов. Посвящён прикладному прогнозированию и стратегическому планированию развития креативных индустрий как по отдельности, так и в их межотра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слевом взаимодействии. Фокус на конкретике: где точки роста и барьеры у направления и каковы сценарии прорыва.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ИСКУССТВО И КУЛЬТУРНАЯ СРЕДА: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ИСПОЛНИТЕЛЬСКИЕ ИСКУССТВА, МУЗЫКА, АРТ- ИНДУСТРИЯ, ИНДУСТРИЯ РАЗВЛЕЧЕНИЙ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ТРАДИЦИИ И РЕМЕСЛА: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НАРОДНО-ХУДОЖЕСТВЕННЫЕ ПРОМЫСЛЫ И РЕМЕСЛА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МОДА, ЮВЕЛИРНОЕ ДЕЛО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1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highlight w:val="yellow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ПРОСТРАНСТВО СОДРУЖЕСТВА МОДЫ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yellow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yellow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360" w:lineRule="auto"/>
              <w:rPr>
                <w:rFonts w:ascii="Times New Roman" w:hAnsi="Times New Roman" w:cs="Times New Roman"/>
                <w:color w:val="000000" w:themeColor="text1"/>
                <w:sz w:val="2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Трек, продолжающий традиции «Содружества моды», объединяющий всю цепочку модной индустрии: от дизайна и сырья до копродукции и глобального экспорта. Рассматриваются вопросы сырьевой независимости, создания новых кооперационных цепочек, коммерциализации рег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иональных брендов и их интеграции в реальный сектор экономики.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НОВАЯ МОДА: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 ОТ ЛОКАЛЬНЫХ БРЕНДОВ К ГЛОБАЛЬНЫМ ИГРОКАМ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КРАСОТА И ЗДОРОВЬЕ БЕЗ ГРАНИЦ: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ЭКСПОРТ РОССИЙСКИХ ТРАДИЦИЙ ЧЕРЕЗ КРЕАТИВНЫЕ ИНДУСТРИИ И БЬЮТИ-ТЕХНОЛОГИИ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1"/>
              </w:rPr>
            </w:r>
          </w:p>
        </w:tc>
        <w:tc>
          <w:tcPr>
            <w:tcW w:w="728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highlight w:val="yellow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КРЕАТИВНЫЕ ТЕРРИТОРИИ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yellow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yellow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  <w:sz w:val="2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Ключевой трек для региональной повестки о том, как креативные индустрии становятся драйвером развития городов. На повестке тема привлечения инвестиций в регионы, опыт городов-суперзвёзд, таких как Москва и Санкт- Петербург, реновация промышленных зон, созд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ание креативных кластеров, особенности маркетинга и работа с локальной идентичностью. В треке широко представлены кейсы регионов.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ГОРОДА ДРАЙВЕРЫ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ИНДУСТРИЙ И НОВАЯ ГОРОДСКАЯ ЭКОНОМИКА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ГЕОБРЕНДИНГ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ДЛЯ ПРИВЛЕЧЕНИЯ ТАЛАНТОВ И ИНВЕСТИЦИЙ, ИНСТРУМЕНТЫ ПРОДВИЖЕНИЯ РЕГИОНАЛЬНОЙ ИДЕНТИЧНОСТИ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МАЛЫЕ ГОРОДА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 – НОВЫЕ ЦЕНТРЫ КРАТИВНОЙ ЭКОНОМИКИ</w:t>
              <w:br/>
              <w:t xml:space="preserve">( ВСЕРОССИЙСКИЙ КОНКУРС "МАЛЫЕ ГОРОДА И ИСТОРИЧЕСКИЕ ПОСЕЛЕНИЯ")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1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БЕЗ ГРАНИЦ: ТРАНСФЕР КРЕАТИВНЫХ ПРАКТИК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yellow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  <w:sz w:val="2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Трек, посвященный экспортному потенциалу и международной кооперации. Увеличение товарооборота внутри региона СНГ, межгосударственное партнерство, гармонизация законодательства в рамках СНГ (ИИ, образование, трансфер технологий, образовательные программы, л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егкая промышленность, туризм,продукция в кино, анимации и моде)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ЛУЧШИЕ МИРОВЫЕ ПРАКТИКИ УПРАВЛЕНИЯ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И МОНЕТИЗАЦИИ В КРЕАТИВНЫХ ИДУСТРИЯХ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КРЕАТИВНОЕ и IP ЗАКОНОДАТЕЛЬСТВО: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РОССИЙСКИЙ ОПЫТ И МИРОВЫЕ ПРАКТИКИ (СИНХРОНИЗАЦИЯ ЗАКОНОДАТЕЛЬСТВА СНГ)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ОБРАЗ ЖИЗНИ И МИГРАЦИЯ: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ВИЗА ТАЛАНТОВ КАК ИНСТРУМЕНТ МЯГКОЙ СИЛЫ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1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sz w:val="24"/>
                <w:highlight w:val="yellow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КРЕАТИВНЫЙ КОД. РОССИЯ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highlight w:val="yellow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highlight w:val="yellow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  <w:sz w:val="2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Трек посвящен развитию коллабораций и цепочек между разными видами бизнеса в сфере креативных индустрий.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МАСТЕРСКАЯ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 ЛУЧШИХ ПРАКТИК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1"/>
              </w:rPr>
            </w:r>
          </w:p>
          <w:p>
            <w:pPr>
              <w:jc w:val="both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r>
          </w:p>
        </w:tc>
      </w:tr>
      <w:tr>
        <w:tblPrEx/>
        <w:trPr/>
        <w:tc>
          <w:tcPr>
            <w:gridSpan w:val="2"/>
            <w:tcW w:w="14570" w:type="dxa"/>
            <w:vMerge w:val="restart"/>
            <w:textDirection w:val="lrTb"/>
            <w:noWrap w:val="false"/>
          </w:tcPr>
          <w:p>
            <w:pPr>
              <w:jc w:val="center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  <w:t xml:space="preserve">30.10.2026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r>
          </w:p>
        </w:tc>
      </w:tr>
      <w:tr>
        <w:tblPrEx/>
        <w:trPr/>
        <w:tc>
          <w:tcPr>
            <w:tcW w:w="728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highlight w:val="yellow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КРЕАТИВНЫЙ КАПИТАЛ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yellow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yellow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Трек посвящен макроэкономическому измерению креативных индустрий. Рассматриваются вопросы закрепления креативных индустрий в законодательстве, вклад креативного сектора в ВВП, вопросы человеческого капитала, налоговые преференции и механизмы государственно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-частного партнерства. Ключевая задача — показать креативный сектор как полноценный актив национальной экономики, требующий особых инструментов.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МОНЕТИЗАЦИЯ IP В НОВЫХ РЕАЛИЯХ: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АВТОРСКИЕ ПРАВА, ЛИЦЕНЗИРОВАНИЕ, РОЯЛТИ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КРУГЛЫЙ СТОЛ.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ДИЗРАПТ-ПРОЕКТЫ, МЕНЯЮЩИЕ УСЛОВИЯ ИГРЫ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highlight w:val="yellow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СЦЕНАРИИ РАЗВИТИЯ КРЕАТИВНЫХ ИНДУСТРИЙ 2050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yellow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yellow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Визионерский трек, сфокусированный на долгосрочном прогнозировании (до 2030–2050 гг.) и анализе глобальных мегатрендов. Посвящён прикладному прогнозированию и стратегическому планированию развития креативных индустрий как по отдельности, так и в их межотра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слевом взаимодействии. Фокус на конкретике: где точки роста и барьеры у направления и каковы сценарии прорыва.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АРХИТЕКТУРА И УРБАНИСТИКА БУДУЩЕГО: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ОРИЕНТИРЫ ПРОСТРАНСТВЕННОГО РАЗВИТИЯ, (АРХИТЕКТУРНЫЕ И ГРАДОСТРОИТЕЛЬНЫЕ КОНКУРСЫ и МАСТЕР-ПЛАНЫ)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КОНТЕНТ, МЕДИА И КОММУНИКАЦИИ: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 ВИДЕО, ТВ, СМИ, ПИАР, КНИЖНОЕ ДЕЛО И ВИДЕО ИГРЫ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ГАСТРОНОМИЧЕСКИЙ ПОТЕНЦИАЛ РОССИИ: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ШЕФ ПОВАРА НОВОЙ ВОЛНЫ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highlight w:val="yellow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ПРОСТРАНСТВО СОДРУЖЕСТВА МОДЫ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highlight w:val="yellow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highlight w:val="yellow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Трек, продолжающий традиции «Содружества моды», объединяющий всю цепочку модной индустрии: от дизайна и сырья до копродукции и глобального экспорта. Рассматриваются вопросы сырьевой независимости, создания новых кооперационных цепочек, коммерциализации рег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иональных брендов и их интеграции в реальный сектор экономики.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ПРОМЫСЛЫ И ПОДИУМ: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КОЛЛАБОРАЦИИ НХП С КРЕАТИВНЫМИ ИНДУСТРИЯМИ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ПРОИЗВОДСТВО В ЛЕГКОЙ ПРОМЫШЛЕННОСТИ: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 СОВРЕМЕННЫЙ ИНДУСТРИАЛЬНЫЙ И КРЕАТИВНЫЙ ФОРМАТЫ (Факторы устойчивого развития, конкурентоспособности, тренды, проблемы, решения, интеграция)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ПРОИЗВОДСТВО И ТЕХНОЛОГИЧЕСКИЙ СУВЕРЕНИТЕТ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КОЖЕВЕННОЙ, ОБУВНОЙ и ШЕРСТЯНОЙ ПРОМЫШЛЕННОСТИ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ГОСУДАРСТВЕННАЯ и ИНВЕСТИЦИОННАЯ ПОДДЕРЖКА ЛЕГКОЙ ПРОМЫШЛЕННОСТИ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 И КРЕАТИВНЫХ ИНДУСТРИЙ НА ПРОСТРАНСТВЕ СНГ</w:t>
              <w:br/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КРУГЛЫЙ СТОЛ.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 ИНКЛЮЗИВНАЯ МОДА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728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8"/>
                <w:szCs w:val="24"/>
                <w:highlight w:val="yellow"/>
                <w:u w:val="single"/>
              </w:rPr>
              <w:t xml:space="preserve">КРЕАТИВНЫЕ ТЕРРИТОРИИ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yellow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highlight w:val="yellow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Ключевой трек для региональной повестки о том, как креативные индустрии становятся драйвером развития городов. На повестке тема привлечения инвестиций в регионы, опыт городов-суперзвёзд, таких как Москва и Санкт- Петербург, реновация промышленных зон, созд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ание креативных кластеров, особенности маркетинга и работа с локальной идентичностью. В треке широко представлены кейсы регионов.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ИНДУСТРИАЛЬНОЕ НАСЛЕДИЕ: 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РЕНОВАЦИЯ ЗАВОДОВ В КРЕАТИВНЫЕ КЛАСТЕРЫ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highlight w:val="yellow"/>
                <w:u w:val="single"/>
              </w:rPr>
              <w:t xml:space="preserve">БЕЗ ГРАНИЦ: ТРАНСФЕР КРЕАТИВНЫХ ПРАКТИК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Трек, посвященный экспортному потенциалу и международной кооперации. Увеличение товарооборота внутри региона СНГ, межгосударственное партнерство, гармонизация законодательства в рамках СНГ (ИИ, образование, трансфер технологий, образовательные программы, л</w:t>
            </w:r>
            <w:r>
              <w:rPr>
                <w:rFonts w:ascii="Times New Roman" w:hAnsi="Times New Roman" w:eastAsia="Times New Roman" w:cs="Times New Roman"/>
                <w:i/>
                <w:color w:val="000000" w:themeColor="text1"/>
                <w:sz w:val="21"/>
              </w:rPr>
              <w:t xml:space="preserve">егкая промышленность, туризм, продукция в кино, анимации и моде)</w:t>
              <w:br/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1"/>
              </w:rPr>
              <w:t xml:space="preserve">КАДРОВОЕ ОБЕСПЕЧЕНИЕ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 ЛЕГКОЙ ПРОМЫШЛЕННОСТИ. ПУТИ РЕШЕНИЯ.</w:t>
            </w: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  <w:p>
            <w:pPr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14:ligatures w14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14:ligatures w14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14:ligatures w14:val="none"/>
              </w:rPr>
            </w:r>
          </w:p>
        </w:tc>
      </w:tr>
      <w:tr>
        <w:tblPrEx/>
        <w:trPr/>
        <w:tc>
          <w:tcPr>
            <w:tcW w:w="7285" w:type="dxa"/>
            <w:vMerge w:val="restart"/>
            <w:textDirection w:val="lrTb"/>
            <w:noWrap w:val="false"/>
          </w:tcPr>
          <w:p>
            <w:pPr>
              <w:ind w:left="0" w:right="0" w:firstLine="0"/>
              <w:jc w:val="both"/>
              <w:spacing w:before="0" w:after="0"/>
              <w:rPr>
                <w:rFonts w:ascii="Times New Roman" w:hAnsi="Times New Roman" w:cs="Times New Roman"/>
                <w:color w:val="000000" w:themeColor="text1"/>
                <w:u w:val="singl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7"/>
                <w:u w:val="single"/>
              </w:rPr>
              <w:t xml:space="preserve">ПЛЕНАРНАЯ СЕССИЯ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u w:val="single"/>
              </w:rPr>
            </w:r>
            <w:r>
              <w:rPr>
                <w:rFonts w:ascii="Times New Roman" w:hAnsi="Times New Roman" w:cs="Times New Roman"/>
                <w:color w:val="000000" w:themeColor="text1"/>
                <w:u w:val="single"/>
              </w:rPr>
            </w:r>
          </w:p>
          <w:p>
            <w:pPr>
              <w:ind w:left="0" w:right="0" w:firstLine="0"/>
              <w:jc w:val="both"/>
              <w:spacing w:before="0" w:after="0" w:line="88" w:lineRule="atLeast"/>
              <w:rPr>
                <w:rFonts w:ascii="Times New Roman" w:hAnsi="Times New Roman" w:cs="Times New Roman"/>
                <w:color w:val="000000" w:themeColor="text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  <w:t xml:space="preserve">КРЕАТИВНОЕ ЛИДЕРСТВО РОССИИ: СТРАТЕГИЯ ОПЕРЕЖАЮЩЕГО РОСТА И НОВАЯ МОДЕЛЬ ЭКОНОМИКИ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</w:p>
        </w:tc>
        <w:tc>
          <w:tcPr>
            <w:tcW w:w="7285" w:type="dxa"/>
            <w:vMerge w:val="restart"/>
            <w:textDirection w:val="lrTb"/>
            <w:noWrap w:val="false"/>
          </w:tcPr>
          <w:p>
            <w:pPr>
              <w:jc w:val="both"/>
              <w:spacing w:before="0" w:after="0"/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7"/>
                <w:szCs w:val="27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7"/>
                <w:szCs w:val="27"/>
              </w:rPr>
            </w:r>
          </w:p>
        </w:tc>
      </w:tr>
    </w:tbl>
    <w:p>
      <w:p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eastAsia="Times New Roman" w:cs="Times New Roman"/>
          <w:color w:val="000000" w:themeColor="text1"/>
        </w:rPr>
      </w:r>
      <w:r>
        <w:rPr>
          <w:rFonts w:ascii="Times New Roman" w:hAnsi="Times New Roman" w:cs="Times New Roman"/>
          <w:color w:val="000000" w:themeColor="text1"/>
        </w:rPr>
      </w:r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>
    <w:name w:val="Heading 1"/>
    <w:basedOn w:val="835"/>
    <w:next w:val="835"/>
    <w:link w:val="660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0">
    <w:name w:val="Heading 1 Char"/>
    <w:link w:val="659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1">
    <w:name w:val="Heading 2"/>
    <w:basedOn w:val="835"/>
    <w:next w:val="835"/>
    <w:link w:val="662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62">
    <w:name w:val="Heading 2 Char"/>
    <w:link w:val="661"/>
    <w:uiPriority w:val="9"/>
    <w:rPr>
      <w:rFonts w:ascii="Liberation Sans" w:hAnsi="Liberation Sans" w:eastAsia="Liberation Sans" w:cs="Liberation Sans"/>
      <w:sz w:val="34"/>
    </w:rPr>
  </w:style>
  <w:style w:type="paragraph" w:styleId="663">
    <w:name w:val="Heading 3"/>
    <w:basedOn w:val="835"/>
    <w:next w:val="835"/>
    <w:link w:val="664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4">
    <w:name w:val="Heading 3 Char"/>
    <w:link w:val="663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5">
    <w:name w:val="Heading 4"/>
    <w:basedOn w:val="835"/>
    <w:next w:val="835"/>
    <w:link w:val="666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6">
    <w:name w:val="Heading 4 Char"/>
    <w:link w:val="665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7">
    <w:name w:val="Heading 5"/>
    <w:basedOn w:val="835"/>
    <w:next w:val="835"/>
    <w:link w:val="668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8">
    <w:name w:val="Heading 5 Char"/>
    <w:link w:val="66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9">
    <w:name w:val="Heading 6"/>
    <w:basedOn w:val="835"/>
    <w:next w:val="835"/>
    <w:link w:val="670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0">
    <w:name w:val="Heading 6 Char"/>
    <w:link w:val="66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1">
    <w:name w:val="Heading 7"/>
    <w:basedOn w:val="835"/>
    <w:next w:val="835"/>
    <w:link w:val="672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72">
    <w:name w:val="Heading 7 Char"/>
    <w:link w:val="671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73">
    <w:name w:val="Heading 8"/>
    <w:basedOn w:val="835"/>
    <w:next w:val="835"/>
    <w:link w:val="674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4">
    <w:name w:val="Heading 8 Char"/>
    <w:link w:val="673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5">
    <w:name w:val="Heading 9"/>
    <w:basedOn w:val="835"/>
    <w:next w:val="835"/>
    <w:link w:val="676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6">
    <w:name w:val="Heading 9 Char"/>
    <w:link w:val="675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7">
    <w:name w:val="Title"/>
    <w:basedOn w:val="835"/>
    <w:next w:val="835"/>
    <w:link w:val="67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8">
    <w:name w:val="Title Char"/>
    <w:link w:val="677"/>
    <w:uiPriority w:val="10"/>
    <w:rPr>
      <w:sz w:val="48"/>
      <w:szCs w:val="48"/>
    </w:rPr>
  </w:style>
  <w:style w:type="paragraph" w:styleId="679">
    <w:name w:val="Subtitle"/>
    <w:basedOn w:val="835"/>
    <w:next w:val="835"/>
    <w:link w:val="680"/>
    <w:uiPriority w:val="11"/>
    <w:qFormat/>
    <w:pPr>
      <w:spacing w:before="200" w:after="200"/>
    </w:pPr>
    <w:rPr>
      <w:sz w:val="24"/>
      <w:szCs w:val="24"/>
    </w:rPr>
  </w:style>
  <w:style w:type="character" w:styleId="680">
    <w:name w:val="Subtitle Char"/>
    <w:link w:val="679"/>
    <w:uiPriority w:val="11"/>
    <w:rPr>
      <w:sz w:val="24"/>
      <w:szCs w:val="24"/>
    </w:rPr>
  </w:style>
  <w:style w:type="paragraph" w:styleId="681">
    <w:name w:val="Quote"/>
    <w:basedOn w:val="835"/>
    <w:next w:val="835"/>
    <w:link w:val="682"/>
    <w:uiPriority w:val="29"/>
    <w:qFormat/>
    <w:pPr>
      <w:ind w:left="720" w:right="720"/>
    </w:pPr>
    <w:rPr>
      <w:i/>
    </w:rPr>
  </w:style>
  <w:style w:type="character" w:styleId="682">
    <w:name w:val="Quote Char"/>
    <w:link w:val="681"/>
    <w:uiPriority w:val="29"/>
    <w:rPr>
      <w:i/>
    </w:rPr>
  </w:style>
  <w:style w:type="paragraph" w:styleId="683">
    <w:name w:val="Intense Quote"/>
    <w:basedOn w:val="835"/>
    <w:next w:val="835"/>
    <w:link w:val="68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4">
    <w:name w:val="Intense Quote Char"/>
    <w:link w:val="683"/>
    <w:uiPriority w:val="30"/>
    <w:rPr>
      <w:i/>
    </w:rPr>
  </w:style>
  <w:style w:type="paragraph" w:styleId="685">
    <w:name w:val="Header"/>
    <w:basedOn w:val="835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Header Char"/>
    <w:link w:val="685"/>
    <w:uiPriority w:val="99"/>
  </w:style>
  <w:style w:type="paragraph" w:styleId="687">
    <w:name w:val="Footer"/>
    <w:basedOn w:val="835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8">
    <w:name w:val="Footer Char"/>
    <w:link w:val="687"/>
    <w:uiPriority w:val="99"/>
  </w:style>
  <w:style w:type="paragraph" w:styleId="689">
    <w:name w:val="Caption"/>
    <w:basedOn w:val="835"/>
    <w:next w:val="835"/>
    <w:link w:val="69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0">
    <w:name w:val="Caption Char"/>
    <w:link w:val="689"/>
    <w:uiPriority w:val="35"/>
    <w:rPr>
      <w:b/>
      <w:bCs/>
      <w:color w:val="4f81bd" w:themeColor="accent1"/>
      <w:sz w:val="18"/>
      <w:szCs w:val="18"/>
    </w:rPr>
  </w:style>
  <w:style w:type="table" w:styleId="691">
    <w:name w:val="Table Grid"/>
    <w:basedOn w:val="83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2">
    <w:name w:val="Table Grid Light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3">
    <w:name w:val="Plain Table 1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4">
    <w:name w:val="Plain Table 2"/>
    <w:basedOn w:val="83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5">
    <w:name w:val="Plain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6">
    <w:name w:val="Plain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Plain Table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8">
    <w:name w:val="Grid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0">
    <w:name w:val="Grid Table 4 - Accent 1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1">
    <w:name w:val="Grid Table 4 - Accent 2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2">
    <w:name w:val="Grid Table 4 - Accent 3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3">
    <w:name w:val="Grid Table 4 - Accent 4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4">
    <w:name w:val="Grid Table 4 - Accent 5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5">
    <w:name w:val="Grid Table 4 - Accent 6"/>
    <w:basedOn w:val="83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6">
    <w:name w:val="Grid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0">
    <w:name w:val="Grid Table 5 Dark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1">
    <w:name w:val="Grid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3">
    <w:name w:val="Grid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4">
    <w:name w:val="Grid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5">
    <w:name w:val="Grid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6">
    <w:name w:val="Grid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7">
    <w:name w:val="Grid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8">
    <w:name w:val="Grid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9">
    <w:name w:val="Grid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0">
    <w:name w:val="Grid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5">
    <w:name w:val="List Table 2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6">
    <w:name w:val="List Table 2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7">
    <w:name w:val="List Table 2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8">
    <w:name w:val="List Table 2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9">
    <w:name w:val="List Table 2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0">
    <w:name w:val="List Table 2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1">
    <w:name w:val="List Table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3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5 Dark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5 Dark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9">
    <w:name w:val="List Table 5 Dark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0">
    <w:name w:val="List Table 5 Dark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1">
    <w:name w:val="List Table 5 Dark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2">
    <w:name w:val="List Table 6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3">
    <w:name w:val="List Table 6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4">
    <w:name w:val="List Table 6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5">
    <w:name w:val="List Table 6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6">
    <w:name w:val="List Table 6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7">
    <w:name w:val="List Table 6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8">
    <w:name w:val="List Table 6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9">
    <w:name w:val="List Table 7 Colorful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90">
    <w:name w:val="List Table 7 Colorful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91">
    <w:name w:val="List Table 7 Colorful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92">
    <w:name w:val="List Table 7 Colorful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93">
    <w:name w:val="List Table 7 Colorful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4">
    <w:name w:val="List Table 7 Colorful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5">
    <w:name w:val="List Table 7 Colorful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6">
    <w:name w:val="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7">
    <w:name w:val="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8">
    <w:name w:val="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9">
    <w:name w:val="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0">
    <w:name w:val="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1">
    <w:name w:val="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2">
    <w:name w:val="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3">
    <w:name w:val="Bordered &amp; Lined - Accent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Bordered &amp; Lined - Accent 1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Bordered &amp; Lined - Accent 2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Bordered &amp; Lined - Accent 3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Bordered &amp; Lined - Accent 4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Bordered &amp; Lined - Accent 5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Bordered &amp; Lined - Accent 6"/>
    <w:basedOn w:val="83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1">
    <w:name w:val="Bordered - Accent 1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2">
    <w:name w:val="Bordered - Accent 2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3">
    <w:name w:val="Bordered - Accent 3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4">
    <w:name w:val="Bordered - Accent 4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5">
    <w:name w:val="Bordered - Accent 5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6">
    <w:name w:val="Bordered - Accent 6"/>
    <w:basedOn w:val="83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7">
    <w:name w:val="Hyperlink"/>
    <w:uiPriority w:val="99"/>
    <w:unhideWhenUsed/>
    <w:rPr>
      <w:color w:val="0000ff" w:themeColor="hyperlink"/>
      <w:u w:val="single"/>
    </w:rPr>
  </w:style>
  <w:style w:type="paragraph" w:styleId="818">
    <w:name w:val="footnote text"/>
    <w:basedOn w:val="835"/>
    <w:link w:val="819"/>
    <w:uiPriority w:val="99"/>
    <w:semiHidden/>
    <w:unhideWhenUsed/>
    <w:pPr>
      <w:spacing w:after="40" w:line="240" w:lineRule="auto"/>
    </w:pPr>
    <w:rPr>
      <w:sz w:val="18"/>
    </w:rPr>
  </w:style>
  <w:style w:type="character" w:styleId="819">
    <w:name w:val="Footnote Text Char"/>
    <w:link w:val="818"/>
    <w:uiPriority w:val="99"/>
    <w:rPr>
      <w:sz w:val="18"/>
    </w:rPr>
  </w:style>
  <w:style w:type="character" w:styleId="820">
    <w:name w:val="footnote reference"/>
    <w:uiPriority w:val="99"/>
    <w:unhideWhenUsed/>
    <w:rPr>
      <w:vertAlign w:val="superscript"/>
    </w:rPr>
  </w:style>
  <w:style w:type="paragraph" w:styleId="821">
    <w:name w:val="endnote text"/>
    <w:basedOn w:val="835"/>
    <w:link w:val="822"/>
    <w:uiPriority w:val="99"/>
    <w:semiHidden/>
    <w:unhideWhenUsed/>
    <w:pPr>
      <w:spacing w:after="0" w:line="240" w:lineRule="auto"/>
    </w:pPr>
    <w:rPr>
      <w:sz w:val="20"/>
    </w:rPr>
  </w:style>
  <w:style w:type="character" w:styleId="822">
    <w:name w:val="Endnote Text Char"/>
    <w:link w:val="821"/>
    <w:uiPriority w:val="99"/>
    <w:rPr>
      <w:sz w:val="20"/>
    </w:rPr>
  </w:style>
  <w:style w:type="character" w:styleId="823">
    <w:name w:val="endnote reference"/>
    <w:uiPriority w:val="99"/>
    <w:semiHidden/>
    <w:unhideWhenUsed/>
    <w:rPr>
      <w:vertAlign w:val="superscript"/>
    </w:rPr>
  </w:style>
  <w:style w:type="paragraph" w:styleId="824">
    <w:name w:val="toc 1"/>
    <w:basedOn w:val="835"/>
    <w:next w:val="835"/>
    <w:uiPriority w:val="39"/>
    <w:unhideWhenUsed/>
    <w:pPr>
      <w:ind w:left="0" w:right="0" w:firstLine="0"/>
      <w:spacing w:after="57"/>
    </w:pPr>
  </w:style>
  <w:style w:type="paragraph" w:styleId="825">
    <w:name w:val="toc 2"/>
    <w:basedOn w:val="835"/>
    <w:next w:val="835"/>
    <w:uiPriority w:val="39"/>
    <w:unhideWhenUsed/>
    <w:pPr>
      <w:ind w:left="283" w:right="0" w:firstLine="0"/>
      <w:spacing w:after="57"/>
    </w:pPr>
  </w:style>
  <w:style w:type="paragraph" w:styleId="826">
    <w:name w:val="toc 3"/>
    <w:basedOn w:val="835"/>
    <w:next w:val="835"/>
    <w:uiPriority w:val="39"/>
    <w:unhideWhenUsed/>
    <w:pPr>
      <w:ind w:left="567" w:right="0" w:firstLine="0"/>
      <w:spacing w:after="57"/>
    </w:pPr>
  </w:style>
  <w:style w:type="paragraph" w:styleId="827">
    <w:name w:val="toc 4"/>
    <w:basedOn w:val="835"/>
    <w:next w:val="835"/>
    <w:uiPriority w:val="39"/>
    <w:unhideWhenUsed/>
    <w:pPr>
      <w:ind w:left="850" w:right="0" w:firstLine="0"/>
      <w:spacing w:after="57"/>
    </w:pPr>
  </w:style>
  <w:style w:type="paragraph" w:styleId="828">
    <w:name w:val="toc 5"/>
    <w:basedOn w:val="835"/>
    <w:next w:val="835"/>
    <w:uiPriority w:val="39"/>
    <w:unhideWhenUsed/>
    <w:pPr>
      <w:ind w:left="1134" w:right="0" w:firstLine="0"/>
      <w:spacing w:after="57"/>
    </w:pPr>
  </w:style>
  <w:style w:type="paragraph" w:styleId="829">
    <w:name w:val="toc 6"/>
    <w:basedOn w:val="835"/>
    <w:next w:val="835"/>
    <w:uiPriority w:val="39"/>
    <w:unhideWhenUsed/>
    <w:pPr>
      <w:ind w:left="1417" w:right="0" w:firstLine="0"/>
      <w:spacing w:after="57"/>
    </w:pPr>
  </w:style>
  <w:style w:type="paragraph" w:styleId="830">
    <w:name w:val="toc 7"/>
    <w:basedOn w:val="835"/>
    <w:next w:val="835"/>
    <w:uiPriority w:val="39"/>
    <w:unhideWhenUsed/>
    <w:pPr>
      <w:ind w:left="1701" w:right="0" w:firstLine="0"/>
      <w:spacing w:after="57"/>
    </w:pPr>
  </w:style>
  <w:style w:type="paragraph" w:styleId="831">
    <w:name w:val="toc 8"/>
    <w:basedOn w:val="835"/>
    <w:next w:val="835"/>
    <w:uiPriority w:val="39"/>
    <w:unhideWhenUsed/>
    <w:pPr>
      <w:ind w:left="1984" w:right="0" w:firstLine="0"/>
      <w:spacing w:after="57"/>
    </w:pPr>
  </w:style>
  <w:style w:type="paragraph" w:styleId="832">
    <w:name w:val="toc 9"/>
    <w:basedOn w:val="835"/>
    <w:next w:val="835"/>
    <w:uiPriority w:val="39"/>
    <w:unhideWhenUsed/>
    <w:pPr>
      <w:ind w:left="2268" w:right="0" w:firstLine="0"/>
      <w:spacing w:after="57"/>
    </w:pPr>
  </w:style>
  <w:style w:type="paragraph" w:styleId="833">
    <w:name w:val="TOC Heading"/>
    <w:uiPriority w:val="39"/>
    <w:unhideWhenUsed/>
  </w:style>
  <w:style w:type="paragraph" w:styleId="834">
    <w:name w:val="table of figures"/>
    <w:basedOn w:val="835"/>
    <w:next w:val="835"/>
    <w:uiPriority w:val="99"/>
    <w:unhideWhenUsed/>
    <w:pPr>
      <w:spacing w:after="0" w:afterAutospacing="0"/>
    </w:pPr>
  </w:style>
  <w:style w:type="paragraph" w:styleId="835" w:default="1">
    <w:name w:val="Normal"/>
    <w:qFormat/>
  </w:style>
  <w:style w:type="table" w:styleId="83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7" w:default="1">
    <w:name w:val="No List"/>
    <w:uiPriority w:val="99"/>
    <w:semiHidden/>
    <w:unhideWhenUsed/>
  </w:style>
  <w:style w:type="paragraph" w:styleId="838">
    <w:name w:val="No Spacing"/>
    <w:basedOn w:val="835"/>
    <w:uiPriority w:val="1"/>
    <w:qFormat/>
    <w:pPr>
      <w:spacing w:after="0" w:line="240" w:lineRule="auto"/>
    </w:pPr>
  </w:style>
  <w:style w:type="paragraph" w:styleId="839">
    <w:name w:val="List Paragraph"/>
    <w:basedOn w:val="835"/>
    <w:uiPriority w:val="34"/>
    <w:qFormat/>
    <w:pPr>
      <w:contextualSpacing/>
      <w:ind w:left="720"/>
    </w:pPr>
  </w:style>
  <w:style w:type="character" w:styleId="840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see001</cp:lastModifiedBy>
  <cp:revision>2</cp:revision>
  <dcterms:modified xsi:type="dcterms:W3CDTF">2026-09-16T09:44:44Z</dcterms:modified>
</cp:coreProperties>
</file>