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F" w:rsidRDefault="00D677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770F" w:rsidRDefault="00D6770F">
      <w:pPr>
        <w:pStyle w:val="ConsPlusNormal"/>
        <w:jc w:val="both"/>
      </w:pPr>
    </w:p>
    <w:p w:rsidR="00D6770F" w:rsidRDefault="00D6770F">
      <w:pPr>
        <w:pStyle w:val="ConsPlusNormal"/>
      </w:pPr>
      <w:r>
        <w:t>Зарегистрировано в Минюсте РФ 27 июня 2003 г. N 4836</w:t>
      </w:r>
    </w:p>
    <w:p w:rsidR="00D6770F" w:rsidRDefault="00D67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70F" w:rsidRDefault="00D6770F">
      <w:pPr>
        <w:pStyle w:val="ConsPlusNormal"/>
      </w:pPr>
    </w:p>
    <w:p w:rsidR="00D6770F" w:rsidRDefault="00D6770F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6770F" w:rsidRDefault="00D6770F">
      <w:pPr>
        <w:pStyle w:val="ConsPlusTitle"/>
        <w:jc w:val="center"/>
      </w:pPr>
      <w:r>
        <w:t>ОБОРОНЫ, ЧРЕЗВЫЧАЙНЫМ СИТУАЦИЯМ И ЛИКВИДАЦИИ</w:t>
      </w:r>
    </w:p>
    <w:p w:rsidR="00D6770F" w:rsidRDefault="00D6770F">
      <w:pPr>
        <w:pStyle w:val="ConsPlusTitle"/>
        <w:jc w:val="center"/>
      </w:pPr>
      <w:r>
        <w:t>ПОСЛЕДСТВИЙ СТИХИЙНЫХ БЕДСТВИЙ</w:t>
      </w:r>
    </w:p>
    <w:p w:rsidR="00D6770F" w:rsidRDefault="00D6770F">
      <w:pPr>
        <w:pStyle w:val="ConsPlusTitle"/>
        <w:jc w:val="center"/>
      </w:pPr>
    </w:p>
    <w:p w:rsidR="00D6770F" w:rsidRDefault="00D6770F">
      <w:pPr>
        <w:pStyle w:val="ConsPlusTitle"/>
        <w:jc w:val="center"/>
      </w:pPr>
      <w:r>
        <w:t>ПРИКАЗ</w:t>
      </w:r>
    </w:p>
    <w:p w:rsidR="00D6770F" w:rsidRDefault="00D6770F">
      <w:pPr>
        <w:pStyle w:val="ConsPlusTitle"/>
        <w:jc w:val="center"/>
      </w:pPr>
      <w:r>
        <w:t>от 18 июня 2003 г. N 315</w:t>
      </w:r>
    </w:p>
    <w:p w:rsidR="00D6770F" w:rsidRDefault="00D6770F">
      <w:pPr>
        <w:pStyle w:val="ConsPlusTitle"/>
        <w:jc w:val="center"/>
      </w:pPr>
    </w:p>
    <w:p w:rsidR="00D6770F" w:rsidRDefault="00D6770F">
      <w:pPr>
        <w:pStyle w:val="ConsPlusTitle"/>
        <w:jc w:val="center"/>
      </w:pPr>
      <w:r>
        <w:t>ОБ УТВЕРЖДЕНИИ НОРМ</w:t>
      </w:r>
    </w:p>
    <w:p w:rsidR="00D6770F" w:rsidRDefault="00D6770F">
      <w:pPr>
        <w:pStyle w:val="ConsPlusTitle"/>
        <w:jc w:val="center"/>
      </w:pPr>
      <w:r>
        <w:t>ПОЖАРНОЙ БЕЗОПАСНОСТИ "ПЕРЕЧЕНЬ ЗДАНИЙ, СООРУЖЕНИЙ,</w:t>
      </w:r>
    </w:p>
    <w:p w:rsidR="00D6770F" w:rsidRDefault="00D6770F">
      <w:pPr>
        <w:pStyle w:val="ConsPlusTitle"/>
        <w:jc w:val="center"/>
      </w:pPr>
      <w:r>
        <w:t>ПОМЕЩЕНИЙ И ОБОРУДОВАНИЯ, ПОДЛЕЖАЩИХ ЗАЩИТЕ</w:t>
      </w:r>
    </w:p>
    <w:p w:rsidR="00D6770F" w:rsidRDefault="00D6770F">
      <w:pPr>
        <w:pStyle w:val="ConsPlusTitle"/>
        <w:jc w:val="center"/>
      </w:pPr>
      <w:r>
        <w:t>АВТОМАТИЧЕСКИМИ УСТАНОВКАМИ ПОЖАРОТУШЕНИЯ</w:t>
      </w:r>
    </w:p>
    <w:p w:rsidR="00D6770F" w:rsidRDefault="00D6770F">
      <w:pPr>
        <w:pStyle w:val="ConsPlusTitle"/>
        <w:jc w:val="center"/>
      </w:pPr>
      <w:r>
        <w:t>И АВТОМАТИЧЕСКОЙ ПОЖАРНОЙ СИГНАЛИЗАЦИЕЙ"</w:t>
      </w:r>
    </w:p>
    <w:p w:rsidR="00D6770F" w:rsidRDefault="00D6770F">
      <w:pPr>
        <w:pStyle w:val="ConsPlusTitle"/>
        <w:jc w:val="center"/>
      </w:pPr>
      <w:r>
        <w:t>(НПБ 110-03)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1 (ч. I), ст. 2; N 33 (ч. I), ст. 3413; 2002, N 1 (ч. I), ст. 2, N 30, ст. 3033; 2003, N 2, ст. 167)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2002 г. N 1011 "Вопросы </w:t>
      </w:r>
      <w:hyperlink r:id="rId7" w:history="1">
        <w:r>
          <w:rPr>
            <w:color w:val="0000FF"/>
          </w:rPr>
          <w:t>Министерства</w:t>
        </w:r>
      </w:hyperlink>
      <w:r>
        <w:t xml:space="preserve">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 3585) приказываю:</w:t>
      </w:r>
    </w:p>
    <w:p w:rsidR="00D6770F" w:rsidRDefault="00D6770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нормы пожарной безопасности</w:t>
        </w:r>
      </w:hyperlink>
      <w:r>
        <w:t xml:space="preserve">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 и ввести их в действие с 30 июня 2003 г.</w:t>
      </w:r>
    </w:p>
    <w:p w:rsidR="00D6770F" w:rsidRDefault="00D6770F">
      <w:pPr>
        <w:pStyle w:val="ConsPlusNormal"/>
        <w:ind w:firstLine="540"/>
        <w:jc w:val="both"/>
      </w:pPr>
      <w:r>
        <w:t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пожарно-технических научно-исследовательских и образовательных учреждений в установленном порядке.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jc w:val="right"/>
      </w:pPr>
      <w:r>
        <w:t>Министр</w:t>
      </w:r>
    </w:p>
    <w:p w:rsidR="00D6770F" w:rsidRDefault="00D6770F">
      <w:pPr>
        <w:pStyle w:val="ConsPlusNormal"/>
        <w:jc w:val="right"/>
      </w:pPr>
      <w:r>
        <w:t>С.К.ШОЙГУ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  <w:jc w:val="right"/>
      </w:pPr>
      <w:r>
        <w:t>Приложение</w:t>
      </w:r>
    </w:p>
    <w:p w:rsidR="00D6770F" w:rsidRDefault="00D6770F">
      <w:pPr>
        <w:pStyle w:val="ConsPlusNormal"/>
        <w:jc w:val="right"/>
      </w:pPr>
      <w:r>
        <w:t>к Приказу МЧС России</w:t>
      </w:r>
    </w:p>
    <w:p w:rsidR="00D6770F" w:rsidRDefault="00D6770F">
      <w:pPr>
        <w:pStyle w:val="ConsPlusNormal"/>
        <w:jc w:val="right"/>
      </w:pPr>
      <w:r>
        <w:t>от 18.06.2003 N 315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70F" w:rsidRDefault="00D6770F">
      <w:pPr>
        <w:pStyle w:val="ConsPlusNormal"/>
        <w:ind w:firstLine="540"/>
        <w:jc w:val="both"/>
      </w:pPr>
      <w:r>
        <w:t>КонсультантПлюс: примечание.</w:t>
      </w:r>
    </w:p>
    <w:p w:rsidR="00D6770F" w:rsidRDefault="00D6770F">
      <w:pPr>
        <w:pStyle w:val="ConsPlusNormal"/>
        <w:ind w:firstLine="540"/>
        <w:jc w:val="both"/>
      </w:pPr>
      <w:r>
        <w:t xml:space="preserve">О применении данного документа см. </w:t>
      </w:r>
      <w:hyperlink r:id="rId8" w:history="1">
        <w:r>
          <w:rPr>
            <w:color w:val="0000FF"/>
          </w:rPr>
          <w:t>Информацию</w:t>
        </w:r>
      </w:hyperlink>
      <w:r>
        <w:t xml:space="preserve"> МЧС России от 19.07.2013.</w:t>
      </w:r>
    </w:p>
    <w:p w:rsidR="00D6770F" w:rsidRDefault="00D67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70F" w:rsidRDefault="00D6770F">
      <w:pPr>
        <w:pStyle w:val="ConsPlusTitle"/>
        <w:jc w:val="center"/>
      </w:pPr>
      <w:bookmarkStart w:id="0" w:name="P37"/>
      <w:bookmarkEnd w:id="0"/>
      <w:r>
        <w:t>НОРМЫ ПОЖАРНОЙ БЕЗОПАСНОСТИ</w:t>
      </w:r>
    </w:p>
    <w:p w:rsidR="00D6770F" w:rsidRDefault="00D6770F">
      <w:pPr>
        <w:pStyle w:val="ConsPlusTitle"/>
        <w:jc w:val="center"/>
      </w:pPr>
    </w:p>
    <w:p w:rsidR="00D6770F" w:rsidRDefault="00D6770F">
      <w:pPr>
        <w:pStyle w:val="ConsPlusTitle"/>
        <w:jc w:val="center"/>
      </w:pPr>
      <w:r>
        <w:lastRenderedPageBreak/>
        <w:t>"ПЕРЕЧЕНЬ</w:t>
      </w:r>
    </w:p>
    <w:p w:rsidR="00D6770F" w:rsidRDefault="00D6770F">
      <w:pPr>
        <w:pStyle w:val="ConsPlusTitle"/>
        <w:jc w:val="center"/>
      </w:pPr>
      <w:r>
        <w:t>ЗДАНИЙ, СООРУЖЕНИЙ, ПОМЕЩЕНИЙ И ОБОРУДОВАНИЯ,</w:t>
      </w:r>
    </w:p>
    <w:p w:rsidR="00D6770F" w:rsidRDefault="00D6770F">
      <w:pPr>
        <w:pStyle w:val="ConsPlusTitle"/>
        <w:jc w:val="center"/>
      </w:pPr>
      <w:r>
        <w:t>ПОДЛЕЖАЩИХ ЗАЩИТЕ АВТОМАТИЧЕСКИМИ УСТАНОВКАМИ</w:t>
      </w:r>
    </w:p>
    <w:p w:rsidR="00D6770F" w:rsidRDefault="00D6770F">
      <w:pPr>
        <w:pStyle w:val="ConsPlusTitle"/>
        <w:jc w:val="center"/>
      </w:pPr>
      <w:r>
        <w:t>ПОЖАРОТУШЕНИЯ И АВТОМАТИЧЕСКОЙ ПОЖАРНОЙ</w:t>
      </w:r>
    </w:p>
    <w:p w:rsidR="00D6770F" w:rsidRDefault="00D6770F">
      <w:pPr>
        <w:pStyle w:val="ConsPlusTitle"/>
        <w:jc w:val="center"/>
      </w:pPr>
      <w:r>
        <w:t>СИГНАЛИЗАЦИЕЙ" (НПБ 110-03)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ind w:firstLine="540"/>
        <w:jc w:val="both"/>
      </w:pPr>
      <w:r>
        <w:t>1. Настоящие нормы устанавливают основные требования пожарной безопасности, регламентирующие защиту зданий, сооружений, помещений и оборудования на всех этапах их создания и эксплуатации автоматическими установками пожаротушения (АУПТ) и автоматическими установками пожарной сигнализации (АУПС) &lt;*&gt;.</w:t>
      </w:r>
    </w:p>
    <w:p w:rsidR="00D6770F" w:rsidRDefault="00D6770F">
      <w:pPr>
        <w:pStyle w:val="ConsPlusNormal"/>
        <w:ind w:firstLine="540"/>
        <w:jc w:val="both"/>
      </w:pPr>
      <w:r>
        <w:t>--------------------------------</w:t>
      </w:r>
    </w:p>
    <w:p w:rsidR="00D6770F" w:rsidRDefault="00D6770F">
      <w:pPr>
        <w:pStyle w:val="ConsPlusNormal"/>
        <w:ind w:firstLine="540"/>
        <w:jc w:val="both"/>
      </w:pPr>
      <w:r>
        <w:t>&lt;*&gt; Далее - автоматические установки.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ind w:firstLine="540"/>
        <w:jc w:val="both"/>
      </w:pPr>
      <w:r>
        <w:t xml:space="preserve">Объекты, не относящиеся к государственному и муниципальному имуществу, перечисленные в </w:t>
      </w:r>
      <w:hyperlink w:anchor="P92" w:history="1">
        <w:r>
          <w:rPr>
            <w:color w:val="0000FF"/>
          </w:rPr>
          <w:t>пунктах 1,</w:t>
        </w:r>
      </w:hyperlink>
      <w:r>
        <w:t xml:space="preserve"> </w:t>
      </w:r>
      <w:hyperlink w:anchor="P95" w:history="1">
        <w:r>
          <w:rPr>
            <w:color w:val="0000FF"/>
          </w:rPr>
          <w:t>2,</w:t>
        </w:r>
      </w:hyperlink>
      <w:r>
        <w:t xml:space="preserve"> </w:t>
      </w:r>
      <w:hyperlink w:anchor="P116" w:history="1">
        <w:r>
          <w:rPr>
            <w:color w:val="0000FF"/>
          </w:rPr>
          <w:t>7</w:t>
        </w:r>
      </w:hyperlink>
      <w:r>
        <w:t xml:space="preserve"> таблицы 1, </w:t>
      </w:r>
      <w:hyperlink w:anchor="P18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26" w:history="1">
        <w:r>
          <w:rPr>
            <w:color w:val="0000FF"/>
          </w:rPr>
          <w:t>8</w:t>
        </w:r>
      </w:hyperlink>
      <w:r>
        <w:t xml:space="preserve"> таблицы 2, </w:t>
      </w:r>
      <w:hyperlink w:anchor="P26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33" w:history="1">
        <w:r>
          <w:rPr>
            <w:color w:val="0000FF"/>
          </w:rPr>
          <w:t>15,</w:t>
        </w:r>
      </w:hyperlink>
      <w:r>
        <w:t xml:space="preserve"> </w:t>
      </w:r>
      <w:hyperlink w:anchor="P339" w:history="1">
        <w:r>
          <w:rPr>
            <w:color w:val="0000FF"/>
          </w:rPr>
          <w:t>16.1,</w:t>
        </w:r>
      </w:hyperlink>
      <w:r>
        <w:t xml:space="preserve"> </w:t>
      </w:r>
      <w:hyperlink w:anchor="P346" w:history="1">
        <w:r>
          <w:rPr>
            <w:color w:val="0000FF"/>
          </w:rPr>
          <w:t>17.1,</w:t>
        </w:r>
      </w:hyperlink>
      <w:r>
        <w:t xml:space="preserve"> </w:t>
      </w:r>
      <w:hyperlink w:anchor="P357" w:history="1">
        <w:r>
          <w:rPr>
            <w:color w:val="0000FF"/>
          </w:rPr>
          <w:t>19,</w:t>
        </w:r>
      </w:hyperlink>
      <w:r>
        <w:t xml:space="preserve"> </w:t>
      </w:r>
      <w:hyperlink w:anchor="P361" w:history="1">
        <w:r>
          <w:rPr>
            <w:color w:val="0000FF"/>
          </w:rPr>
          <w:t>20</w:t>
        </w:r>
      </w:hyperlink>
      <w:r>
        <w:t xml:space="preserve"> таблицы 3, пунктах </w:t>
      </w:r>
      <w:hyperlink w:anchor="P486" w:history="1">
        <w:r>
          <w:rPr>
            <w:color w:val="0000FF"/>
          </w:rPr>
          <w:t>1</w:t>
        </w:r>
      </w:hyperlink>
      <w:r>
        <w:t xml:space="preserve"> - 8 таблицы 4 приложения настоящих норм, допускается оборудовать АУПС без устройства АУПТ. При этом на указанных объектах должна быть обеспечена безопасность находящихся в них людей и устранена угроза пожара и его опасных факторов для других лиц, что должно быть подтверждено соответствующими расчетами, а применяемое в АУПС оборудование должно отвечать современным требованиям.</w:t>
      </w:r>
    </w:p>
    <w:p w:rsidR="00D6770F" w:rsidRDefault="00D6770F">
      <w:pPr>
        <w:pStyle w:val="ConsPlusNormal"/>
        <w:ind w:firstLine="540"/>
        <w:jc w:val="both"/>
      </w:pPr>
      <w:r>
        <w:t>На объектах, перечисленных выше, взамен АУПТ также могут предусматриваться автономные установки пожаротушения для защиты отдельных пожароопасных участков.</w:t>
      </w:r>
    </w:p>
    <w:p w:rsidR="00D6770F" w:rsidRDefault="00D6770F">
      <w:pPr>
        <w:pStyle w:val="ConsPlusNormal"/>
        <w:ind w:firstLine="540"/>
        <w:jc w:val="both"/>
      </w:pPr>
      <w:r>
        <w:t>Наряду с настоящими нормами необходимо руководствоваться ведомственными (отраслевыми) и территориальными перечнями, а также другими нормативными документами, утвержденными в установленном порядке.</w:t>
      </w:r>
    </w:p>
    <w:p w:rsidR="00D6770F" w:rsidRDefault="00D6770F">
      <w:pPr>
        <w:pStyle w:val="ConsPlusNormal"/>
        <w:ind w:firstLine="540"/>
        <w:jc w:val="both"/>
      </w:pPr>
      <w:r>
        <w:t>Ведомственные (отраслевые), территориальные перечни, а также другие нормативные документы, определяющие необходимость защиты зданий, сооружений, помещений и оборудования АУПТ и АУПС, разработанные в соответствии с требованиями настоящих норм, согласованию не подлежат.</w:t>
      </w:r>
    </w:p>
    <w:p w:rsidR="00D6770F" w:rsidRDefault="00D6770F">
      <w:pPr>
        <w:pStyle w:val="ConsPlusNormal"/>
        <w:ind w:firstLine="540"/>
        <w:jc w:val="both"/>
      </w:pPr>
      <w:r>
        <w:t>2. Под зданием в настоящих нормах понимается здание в целом или часть здания (пожарные отсеки), выделенные противопожарными стенами 1 типа.</w:t>
      </w:r>
    </w:p>
    <w:p w:rsidR="00D6770F" w:rsidRDefault="00D6770F">
      <w:pPr>
        <w:pStyle w:val="ConsPlusNormal"/>
        <w:ind w:firstLine="540"/>
        <w:jc w:val="both"/>
      </w:pPr>
      <w:r>
        <w:t xml:space="preserve">Под нормативным показателем площади помещения в </w:t>
      </w:r>
      <w:hyperlink w:anchor="P251" w:history="1">
        <w:r>
          <w:rPr>
            <w:color w:val="0000FF"/>
          </w:rPr>
          <w:t>разделе III</w:t>
        </w:r>
      </w:hyperlink>
      <w:r>
        <w:t xml:space="preserve"> обязательного приложения настоящих норм понимается часть здания или сооружения, выделенная ограждающими конструкциями, отнесенными к противопожарным преградам с пределом огнестойкости не менее 0,75 часа (перегородки EI 45, стены и перекрытия REI 45).</w:t>
      </w:r>
    </w:p>
    <w:p w:rsidR="00D6770F" w:rsidRDefault="00D6770F">
      <w:pPr>
        <w:pStyle w:val="ConsPlusNormal"/>
        <w:ind w:firstLine="540"/>
        <w:jc w:val="both"/>
      </w:pPr>
      <w:r>
        <w:t>3. Тип автоматической установки тушения, способ тушения, вид огнетушащих средств, тип оборудования установок пожарной автоматики определяется организацией-проектировщиком в зависимости от технологических, конструктивных и объемно-планировочных особенностей защищаемых зданий и помещений с учетом требований действующих нормативно-технических документов.</w:t>
      </w:r>
    </w:p>
    <w:p w:rsidR="00D6770F" w:rsidRDefault="00D6770F">
      <w:pPr>
        <w:pStyle w:val="ConsPlusNormal"/>
        <w:ind w:firstLine="540"/>
        <w:jc w:val="both"/>
      </w:pPr>
      <w:r>
        <w:t xml:space="preserve">Здания и помещения, перечисленные в </w:t>
      </w:r>
      <w:hyperlink w:anchor="P98" w:history="1">
        <w:r>
          <w:rPr>
            <w:color w:val="0000FF"/>
          </w:rPr>
          <w:t>пунктах 3,</w:t>
        </w:r>
      </w:hyperlink>
      <w:r>
        <w:t xml:space="preserve"> </w:t>
      </w:r>
      <w:hyperlink w:anchor="P112" w:history="1">
        <w:r>
          <w:rPr>
            <w:color w:val="0000FF"/>
          </w:rPr>
          <w:t>6.1,</w:t>
        </w:r>
      </w:hyperlink>
      <w:r>
        <w:t xml:space="preserve"> </w:t>
      </w:r>
      <w:hyperlink w:anchor="P116" w:history="1">
        <w:r>
          <w:rPr>
            <w:color w:val="0000FF"/>
          </w:rPr>
          <w:t>7,</w:t>
        </w:r>
      </w:hyperlink>
      <w:r>
        <w:t xml:space="preserve"> </w:t>
      </w:r>
      <w:hyperlink w:anchor="P128" w:history="1">
        <w:r>
          <w:rPr>
            <w:color w:val="0000FF"/>
          </w:rPr>
          <w:t>9,</w:t>
        </w:r>
      </w:hyperlink>
      <w:r>
        <w:t xml:space="preserve"> </w:t>
      </w:r>
      <w:hyperlink w:anchor="P131" w:history="1">
        <w:r>
          <w:rPr>
            <w:color w:val="0000FF"/>
          </w:rPr>
          <w:t>10,</w:t>
        </w:r>
      </w:hyperlink>
      <w:r>
        <w:t xml:space="preserve"> </w:t>
      </w:r>
      <w:hyperlink w:anchor="P164" w:history="1">
        <w:r>
          <w:rPr>
            <w:color w:val="0000FF"/>
          </w:rPr>
          <w:t>13</w:t>
        </w:r>
      </w:hyperlink>
      <w:r>
        <w:t xml:space="preserve"> таблицы 1, </w:t>
      </w:r>
      <w:hyperlink w:anchor="P330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357" w:history="1">
        <w:r>
          <w:rPr>
            <w:color w:val="0000FF"/>
          </w:rPr>
          <w:t>19,</w:t>
        </w:r>
      </w:hyperlink>
      <w:r>
        <w:t xml:space="preserve"> </w:t>
      </w:r>
      <w:hyperlink w:anchor="P384" w:history="1">
        <w:r>
          <w:rPr>
            <w:color w:val="0000FF"/>
          </w:rPr>
          <w:t>26</w:t>
        </w:r>
      </w:hyperlink>
      <w:r>
        <w:t xml:space="preserve"> - </w:t>
      </w:r>
      <w:hyperlink w:anchor="P399" w:history="1">
        <w:r>
          <w:rPr>
            <w:color w:val="0000FF"/>
          </w:rPr>
          <w:t>29,</w:t>
        </w:r>
      </w:hyperlink>
      <w:r>
        <w:t xml:space="preserve"> </w:t>
      </w:r>
      <w:hyperlink w:anchor="P430" w:history="1">
        <w:r>
          <w:rPr>
            <w:color w:val="0000FF"/>
          </w:rPr>
          <w:t>32</w:t>
        </w:r>
      </w:hyperlink>
      <w:r>
        <w:t xml:space="preserve"> - </w:t>
      </w:r>
      <w:hyperlink w:anchor="P471" w:history="1">
        <w:r>
          <w:rPr>
            <w:color w:val="0000FF"/>
          </w:rPr>
          <w:t>38</w:t>
        </w:r>
      </w:hyperlink>
      <w:r>
        <w:t xml:space="preserve"> таблицы 3, при применении автоматической пожарной сигнализации следует оборудовать дымовыми пожарными извещателями.</w:t>
      </w:r>
    </w:p>
    <w:p w:rsidR="00D6770F" w:rsidRDefault="00D6770F">
      <w:pPr>
        <w:pStyle w:val="ConsPlusNormal"/>
        <w:ind w:firstLine="540"/>
        <w:jc w:val="both"/>
      </w:pPr>
      <w:bookmarkStart w:id="1" w:name="P57"/>
      <w:bookmarkEnd w:id="1"/>
      <w:r>
        <w:t>4. В зданиях и сооружениях следует защищать соответствующими автоматическими установками все помещения независимо от площади, кроме помещений:</w:t>
      </w:r>
    </w:p>
    <w:p w:rsidR="00D6770F" w:rsidRDefault="00D6770F">
      <w:pPr>
        <w:pStyle w:val="ConsPlusNormal"/>
        <w:ind w:firstLine="540"/>
        <w:jc w:val="both"/>
      </w:pPr>
      <w:r>
        <w:t>- с мокрыми процессами (душевые, санузлы, охлаждаемые камеры, помещения мойки и т.п.);</w:t>
      </w:r>
    </w:p>
    <w:p w:rsidR="00D6770F" w:rsidRDefault="00D6770F">
      <w:pPr>
        <w:pStyle w:val="ConsPlusNormal"/>
        <w:ind w:firstLine="540"/>
        <w:jc w:val="both"/>
      </w:pPr>
      <w:r>
        <w:t>- венткамер (приточных, а также вытяжных, не обслуживающих производственные помещения категории А или Б), насосных водоснабжения, бойлерных и др. помещений для инженерного оборудования здания, в которых отсутствуют горючие материалы;</w:t>
      </w:r>
    </w:p>
    <w:p w:rsidR="00D6770F" w:rsidRDefault="00D6770F">
      <w:pPr>
        <w:pStyle w:val="ConsPlusNormal"/>
        <w:ind w:firstLine="540"/>
        <w:jc w:val="both"/>
      </w:pPr>
      <w:r>
        <w:t>- категории В4 и Д по пожарной опасности;</w:t>
      </w:r>
    </w:p>
    <w:p w:rsidR="00D6770F" w:rsidRDefault="00D6770F">
      <w:pPr>
        <w:pStyle w:val="ConsPlusNormal"/>
        <w:ind w:firstLine="540"/>
        <w:jc w:val="both"/>
      </w:pPr>
      <w:r>
        <w:t>- лестничных клеток.</w:t>
      </w:r>
    </w:p>
    <w:p w:rsidR="00D6770F" w:rsidRDefault="00D6770F">
      <w:pPr>
        <w:pStyle w:val="ConsPlusNormal"/>
        <w:ind w:firstLine="540"/>
        <w:jc w:val="both"/>
      </w:pPr>
      <w:r>
        <w:t>5. Здания, сооружения и помещения, подлежащие оборудованию установками охранной и пожарной сигнализации, рекомендуется защищать охранно-пожарной сигнализацией.</w:t>
      </w:r>
    </w:p>
    <w:p w:rsidR="00D6770F" w:rsidRDefault="00D6770F">
      <w:pPr>
        <w:pStyle w:val="ConsPlusNormal"/>
        <w:ind w:firstLine="540"/>
        <w:jc w:val="both"/>
      </w:pPr>
      <w:r>
        <w:lastRenderedPageBreak/>
        <w:t xml:space="preserve">6. Если площадь помещений, подлежащих оборудованию системами автоматического пожаротушения, составляет 40% и более от общей площади этажей здания, сооружения, следует предусматривать оборудование здания, сооружения в целом системами автоматического пожаротушения, за исключением помещений, перечисленных в </w:t>
      </w:r>
      <w:hyperlink w:anchor="P57" w:history="1">
        <w:r>
          <w:rPr>
            <w:color w:val="0000FF"/>
          </w:rPr>
          <w:t>п. 4.</w:t>
        </w:r>
      </w:hyperlink>
    </w:p>
    <w:p w:rsidR="00D6770F" w:rsidRDefault="00D6770F">
      <w:pPr>
        <w:pStyle w:val="ConsPlusNormal"/>
        <w:ind w:firstLine="540"/>
        <w:jc w:val="both"/>
      </w:pPr>
      <w:r>
        <w:t>7. АУПТ и АУПС должны проектироваться в соответствии с нормативными документами, утвержденными в установленном порядке.</w:t>
      </w:r>
    </w:p>
    <w:p w:rsidR="00D6770F" w:rsidRDefault="00D6770F">
      <w:pPr>
        <w:pStyle w:val="ConsPlusNormal"/>
        <w:ind w:firstLine="540"/>
        <w:jc w:val="both"/>
      </w:pPr>
      <w:r>
        <w:t>8. Категория зданий и помещений определяется в соответствии с нормативными документами в области пожарной безопасности, утвержденными в установленном порядке.</w:t>
      </w:r>
    </w:p>
    <w:p w:rsidR="00D6770F" w:rsidRDefault="00D6770F">
      <w:pPr>
        <w:pStyle w:val="ConsPlusNormal"/>
        <w:ind w:firstLine="540"/>
        <w:jc w:val="both"/>
      </w:pPr>
      <w:r>
        <w:t>9.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 определяется ведомственными нормативными документами, согласованными и утвержденными в установленном порядке.</w:t>
      </w:r>
    </w:p>
    <w:p w:rsidR="00D6770F" w:rsidRDefault="00D6770F">
      <w:pPr>
        <w:pStyle w:val="ConsPlusNormal"/>
        <w:ind w:firstLine="540"/>
        <w:jc w:val="both"/>
      </w:pPr>
      <w:r>
        <w:t>10. Здания, сооружения и помещения, не вошедшие в настоящий Перечень, оборудуются установками пожарной автоматики в соответствии с требованиями отраслевых (ведомственных) нормативных документов, утвержденных в установленном порядке.</w:t>
      </w:r>
    </w:p>
    <w:p w:rsidR="00D6770F" w:rsidRDefault="00D6770F">
      <w:pPr>
        <w:pStyle w:val="ConsPlusNormal"/>
        <w:ind w:firstLine="540"/>
        <w:jc w:val="both"/>
      </w:pPr>
      <w:r>
        <w:t>11. Согласование проектов систем автоматической противопожарной защиты зданий, сооружений, помещений и оборудования в подразделениях Государственной противопожарной службы проводится в соответствии с нормативными документами по пожарной безопасности и инструкцией по организации и осуществлению государственного пожарного надзора.</w:t>
      </w:r>
    </w:p>
    <w:p w:rsidR="00D6770F" w:rsidRDefault="00D6770F">
      <w:pPr>
        <w:pStyle w:val="ConsPlusNormal"/>
        <w:ind w:firstLine="540"/>
        <w:jc w:val="both"/>
      </w:pPr>
      <w:r>
        <w:t>12. Перечень зданий и помещений, которые целесообразно оборудовать пожарной автоматикой с передачей сигнала о пожаре по радиотелекоммуникационной системе на центральный узел связи "01" Государственной противопожарной службы определяется соответствующим территориальным подразделением ГПС МЧС России, исходя из их технических возможностей.</w:t>
      </w:r>
    </w:p>
    <w:p w:rsidR="00D6770F" w:rsidRDefault="00D6770F">
      <w:pPr>
        <w:pStyle w:val="ConsPlusNormal"/>
        <w:ind w:firstLine="540"/>
        <w:jc w:val="both"/>
      </w:pPr>
      <w:r>
        <w:t xml:space="preserve">13. В </w:t>
      </w:r>
      <w:hyperlink w:anchor="P251" w:history="1">
        <w:r>
          <w:rPr>
            <w:color w:val="0000FF"/>
          </w:rPr>
          <w:t>разделе III</w:t>
        </w:r>
      </w:hyperlink>
      <w:r>
        <w:t xml:space="preserve"> обязательного приложения при определении вида автоматической установки (АУПТ или АУПС) для защиты помещений категории В3 по пожарной опасности нормативный показатель (площадь помещения) допускается увеличивать на 20%.</w:t>
      </w:r>
    </w:p>
    <w:p w:rsidR="00D6770F" w:rsidRDefault="00D6770F">
      <w:pPr>
        <w:pStyle w:val="ConsPlusNormal"/>
        <w:ind w:firstLine="540"/>
        <w:jc w:val="both"/>
      </w:pPr>
      <w:r>
        <w:t>14.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сигнализацией, представлен в обязательном приложении.</w:t>
      </w:r>
    </w:p>
    <w:p w:rsidR="00D6770F" w:rsidRDefault="00D6770F">
      <w:pPr>
        <w:sectPr w:rsidR="00D6770F" w:rsidSect="00043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  <w:jc w:val="right"/>
      </w:pPr>
      <w:r>
        <w:t>Приложение</w:t>
      </w:r>
    </w:p>
    <w:p w:rsidR="00D6770F" w:rsidRDefault="00D6770F">
      <w:pPr>
        <w:pStyle w:val="ConsPlusNormal"/>
        <w:jc w:val="right"/>
      </w:pPr>
      <w:r>
        <w:t>к НПБ 110-03</w:t>
      </w:r>
    </w:p>
    <w:p w:rsidR="00D6770F" w:rsidRDefault="00D6770F">
      <w:pPr>
        <w:pStyle w:val="ConsPlusNormal"/>
        <w:jc w:val="right"/>
      </w:pPr>
      <w:r>
        <w:t>(обязательное)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jc w:val="center"/>
      </w:pPr>
      <w:r>
        <w:t>I. ЗДАНИЯ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jc w:val="right"/>
      </w:pPr>
      <w:r>
        <w:t>Таблица 1</w:t>
      </w:r>
    </w:p>
    <w:p w:rsidR="00D6770F" w:rsidRDefault="00D6770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2640"/>
        <w:gridCol w:w="2640"/>
      </w:tblGrid>
      <w:tr w:rsidR="00D6770F">
        <w:tc>
          <w:tcPr>
            <w:tcW w:w="5445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АУПТ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АУПС</w:t>
            </w:r>
          </w:p>
        </w:tc>
      </w:tr>
      <w:tr w:rsidR="00D6770F">
        <w:tc>
          <w:tcPr>
            <w:tcW w:w="5445" w:type="dxa"/>
            <w:vMerge/>
          </w:tcPr>
          <w:p w:rsidR="00D6770F" w:rsidRDefault="00D6770F"/>
        </w:tc>
        <w:tc>
          <w:tcPr>
            <w:tcW w:w="5280" w:type="dxa"/>
            <w:gridSpan w:val="2"/>
          </w:tcPr>
          <w:p w:rsidR="00D6770F" w:rsidRDefault="00D6770F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" w:name="P92"/>
            <w:bookmarkEnd w:id="2"/>
            <w:r>
              <w:t>1. Здания складов категории В по пожарной опасности с хранением на стеллажах высотой 5,5 м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3" w:name="P95"/>
            <w:bookmarkEnd w:id="3"/>
            <w:r>
              <w:t xml:space="preserve">2. Здания складов категории В по пожарной опасности, высотой два этажа и более (кроме указанных в </w:t>
            </w:r>
            <w:hyperlink w:anchor="P92" w:history="1">
              <w:r>
                <w:rPr>
                  <w:color w:val="0000FF"/>
                </w:rPr>
                <w:t>п. 1)</w:t>
              </w:r>
            </w:hyperlink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4" w:name="P98"/>
            <w:bookmarkEnd w:id="4"/>
            <w:r>
              <w:t>3. Здания архивов, уникальных изданий, отчетов, рукописей и другой документации особой ценности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4. Здания и сооружения для автомобилей:</w:t>
            </w:r>
          </w:p>
        </w:tc>
        <w:tc>
          <w:tcPr>
            <w:tcW w:w="5280" w:type="dxa"/>
            <w:gridSpan w:val="2"/>
            <w:vMerge w:val="restart"/>
            <w:vAlign w:val="center"/>
          </w:tcPr>
          <w:p w:rsidR="00D6770F" w:rsidRDefault="00D6770F">
            <w:pPr>
              <w:pStyle w:val="ConsPlusNormal"/>
              <w:jc w:val="center"/>
            </w:pPr>
            <w:r>
              <w:t>По СНиП 21-02-99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4.1. Для хранения</w:t>
            </w:r>
          </w:p>
        </w:tc>
        <w:tc>
          <w:tcPr>
            <w:tcW w:w="5280" w:type="dxa"/>
            <w:gridSpan w:val="2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4.2. Для технического обслуживания и ремонта</w:t>
            </w:r>
          </w:p>
        </w:tc>
        <w:tc>
          <w:tcPr>
            <w:tcW w:w="5280" w:type="dxa"/>
            <w:gridSpan w:val="2"/>
          </w:tcPr>
          <w:p w:rsidR="00D6770F" w:rsidRDefault="00D6770F">
            <w:pPr>
              <w:pStyle w:val="ConsPlusNormal"/>
              <w:jc w:val="center"/>
            </w:pPr>
            <w:r>
              <w:t>По ВСН 01-89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5. Здания высотой более 30 м (за исключением жилых </w:t>
            </w:r>
            <w:r>
              <w:lastRenderedPageBreak/>
              <w:t>зданий и производственных зданий категории Г и Д по пожарной опасности) &lt;1&gt;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lastRenderedPageBreak/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lastRenderedPageBreak/>
              <w:t>6. Жилые здания: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5" w:name="P112"/>
            <w:bookmarkEnd w:id="5"/>
            <w:r>
              <w:t>6.1. Общежития, специализированные жилые дома для престарелых и инвалидов &lt;2&gt;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6.2. Жилые здания высотой более 28 м &lt;3&gt;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6" w:name="P116"/>
            <w:bookmarkEnd w:id="6"/>
            <w:r>
              <w:t>7. Одноэтажные здания из легких металлических конструкций с полимерными горючими утеплителями: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7.1. Общественного назначения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800 м2 &lt;4&gt;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800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7.2. Административно-бытового назначения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1200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1200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8. Здания и сооружения по переработке и хранению зерна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7" w:name="P128"/>
            <w:bookmarkEnd w:id="7"/>
            <w:r>
              <w:t xml:space="preserve">9. Здания общественного и административно-бытового назначения (кроме указанных в </w:t>
            </w:r>
            <w:hyperlink w:anchor="P159" w:history="1">
              <w:r>
                <w:rPr>
                  <w:color w:val="0000FF"/>
                </w:rPr>
                <w:t>п. п. 11,</w:t>
              </w:r>
            </w:hyperlink>
            <w:r>
              <w:t xml:space="preserve"> </w:t>
            </w:r>
            <w:hyperlink w:anchor="P164" w:history="1">
              <w:r>
                <w:rPr>
                  <w:color w:val="0000FF"/>
                </w:rPr>
                <w:t>13)</w:t>
              </w:r>
            </w:hyperlink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  <w:vAlign w:val="center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8" w:name="P131"/>
            <w:bookmarkEnd w:id="8"/>
            <w:r>
              <w:t xml:space="preserve">10. Здания предприятий торговли (за исключением помещений, указанных в </w:t>
            </w:r>
            <w:hyperlink w:anchor="P57" w:history="1">
              <w:r>
                <w:rPr>
                  <w:color w:val="0000FF"/>
                </w:rPr>
                <w:t>п. 4</w:t>
              </w:r>
            </w:hyperlink>
            <w:r>
              <w:t xml:space="preserve"> настоящих норм, и помещений хранения и подготовки к продаже мяса, рыбы, фруктов и овощей (в негорючей упаковке), металлической посуды, негорючих строительных материалов):</w:t>
            </w:r>
          </w:p>
        </w:tc>
        <w:tc>
          <w:tcPr>
            <w:tcW w:w="5280" w:type="dxa"/>
            <w:gridSpan w:val="2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10.1. Одноэтажные (за исключением </w:t>
            </w:r>
            <w:hyperlink w:anchor="P164" w:history="1">
              <w:r>
                <w:rPr>
                  <w:color w:val="0000FF"/>
                </w:rPr>
                <w:t>п. 13):</w:t>
              </w:r>
            </w:hyperlink>
          </w:p>
        </w:tc>
        <w:tc>
          <w:tcPr>
            <w:tcW w:w="5280" w:type="dxa"/>
            <w:gridSpan w:val="2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10.1.1. При размещении торгового зала и подсобных помещений в цокольном или подвальном этажах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200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200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10.1.2. При размещении торгового и подсобных </w:t>
            </w:r>
            <w:r>
              <w:lastRenderedPageBreak/>
              <w:t>помещений зала в наземной части здания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lastRenderedPageBreak/>
              <w:t xml:space="preserve">При площади здания 3500 </w:t>
            </w:r>
            <w:r>
              <w:lastRenderedPageBreak/>
              <w:t>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lastRenderedPageBreak/>
              <w:t xml:space="preserve">При площади здания </w:t>
            </w:r>
            <w:r>
              <w:lastRenderedPageBreak/>
              <w:t>менее 3500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lastRenderedPageBreak/>
              <w:t>10.2. Двухэтажные: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10.2.1. Общей торговой площадью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3500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3500 м2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bottom w:val="nil"/>
            </w:tcBorders>
          </w:tcPr>
          <w:p w:rsidR="00D6770F" w:rsidRDefault="00D6770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D6770F" w:rsidRDefault="00D6770F">
            <w:pPr>
              <w:pStyle w:val="ConsPlusNormal"/>
              <w:ind w:firstLine="283"/>
              <w:jc w:val="both"/>
            </w:pPr>
            <w:r>
              <w:t>&lt;1&gt; Высота здания определяется в соответствии с требованиями СНиП 21-01-97 "Пожарная безопасность зданий и сооружений".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D6770F" w:rsidRDefault="00D6770F">
            <w:pPr>
              <w:pStyle w:val="ConsPlusNormal"/>
              <w:ind w:firstLine="283"/>
              <w:jc w:val="both"/>
            </w:pPr>
            <w:r>
              <w:t>&lt;2&gt; Наряду с АУПС помещения квартир и общежитий следует оборудовать автономными оптико-электронными дымовыми пожарными извещателями согласно СНиП 2.08.01.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6770F" w:rsidRDefault="00D6770F">
            <w:pPr>
              <w:pStyle w:val="ConsPlusNormal"/>
              <w:ind w:firstLine="283"/>
              <w:jc w:val="both"/>
            </w:pPr>
            <w:r>
              <w:t>&lt;3&gt; Тепловые пожарные извещатели АУПС устанавливаются в прихожих квартир и используются для выполнения требования п. 1.34 &lt;1&gt; СНиП 2.08.01-89 &lt;1&gt;.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10.2.2. При размещении торгового зала в цокольном или подвальном этажах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величины торговой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10.3. Трехэтажные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10.4. Здания специализированных предприятий торговли по продаже легковоспламеняющихся и горючих жидкостей (за исключением расфасованного товара в таре емкостью не более 20 л)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9" w:name="P159"/>
            <w:bookmarkEnd w:id="9"/>
            <w:r>
              <w:t>11. Автозаправочные станции (в том числе контейнерного типа), а также палатки, магазины и киоски, относящиеся к ним</w:t>
            </w:r>
          </w:p>
        </w:tc>
        <w:tc>
          <w:tcPr>
            <w:tcW w:w="5280" w:type="dxa"/>
            <w:gridSpan w:val="2"/>
            <w:vAlign w:val="center"/>
          </w:tcPr>
          <w:p w:rsidR="00D6770F" w:rsidRDefault="00D6770F">
            <w:pPr>
              <w:pStyle w:val="ConsPlusNormal"/>
              <w:jc w:val="center"/>
            </w:pPr>
            <w:r>
              <w:t>По НПБ 111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10" w:name="P161"/>
            <w:bookmarkEnd w:id="10"/>
            <w:r>
              <w:t>12. Культовые здания и комплексы (производственные, складские и жилые здания комплексов оборудуются по требованиям соответствующих пунктов настоящих норм)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11" w:name="P164"/>
            <w:bookmarkEnd w:id="11"/>
            <w:r>
              <w:lastRenderedPageBreak/>
              <w:t>13. Здания выставочных павильонов: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13.1. Одноэтажные (за исключением </w:t>
            </w:r>
            <w:hyperlink w:anchor="P161" w:history="1">
              <w:r>
                <w:rPr>
                  <w:color w:val="0000FF"/>
                </w:rPr>
                <w:t>п. 12)</w:t>
              </w:r>
            </w:hyperlink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1000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1000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13.2. Двухэтажные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</w:tbl>
    <w:p w:rsidR="00D6770F" w:rsidRDefault="00D6770F">
      <w:pPr>
        <w:pStyle w:val="ConsPlusNormal"/>
      </w:pPr>
    </w:p>
    <w:p w:rsidR="00D6770F" w:rsidRDefault="00D6770F">
      <w:pPr>
        <w:pStyle w:val="ConsPlusNormal"/>
        <w:jc w:val="center"/>
      </w:pPr>
      <w:r>
        <w:t>II. СООРУЖЕНИЯ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jc w:val="right"/>
      </w:pPr>
      <w:r>
        <w:t>Таблица 2</w:t>
      </w:r>
    </w:p>
    <w:p w:rsidR="00D6770F" w:rsidRDefault="00D6770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2640"/>
        <w:gridCol w:w="2640"/>
      </w:tblGrid>
      <w:tr w:rsidR="00D6770F">
        <w:tc>
          <w:tcPr>
            <w:tcW w:w="5445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АУПТ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АУПС</w:t>
            </w:r>
          </w:p>
        </w:tc>
      </w:tr>
      <w:tr w:rsidR="00D6770F">
        <w:tc>
          <w:tcPr>
            <w:tcW w:w="5445" w:type="dxa"/>
            <w:vMerge/>
          </w:tcPr>
          <w:p w:rsidR="00D6770F" w:rsidRDefault="00D6770F"/>
        </w:tc>
        <w:tc>
          <w:tcPr>
            <w:tcW w:w="5280" w:type="dxa"/>
            <w:gridSpan w:val="2"/>
          </w:tcPr>
          <w:p w:rsidR="00D6770F" w:rsidRDefault="00D6770F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12" w:name="P185"/>
            <w:bookmarkEnd w:id="12"/>
            <w:r>
              <w:t>1. Кабельные сооружения &lt;1&gt; электростанций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2. Кабельные сооружения подстанций напряжением, кВ: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2.1. 500 и выше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2.2. Менее 500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13" w:name="P197"/>
            <w:bookmarkEnd w:id="13"/>
            <w:r>
              <w:t>3. Кабельные сооружения подстанций глубокого ввода напряжением 110 кВ с трансформаторами мощностью: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3.1. 63 МВА и выше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3.2. Менее 63 МВА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4. Кабельные сооружения промышленных и общественных зданий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Более 100 м3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100 м3 и менее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lastRenderedPageBreak/>
              <w:t>5. Комбинированные тоннели производственных и общественных зданий при прокладке в них кабелей и проводов напряжением 220 В и выше в количестве: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5.1. Объемом более 100 м3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12 шт.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От 5 до 12 шт.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5.2. Объемом 100 м3 и менее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5 и более шт.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6. Кабельные тоннели и закрытые полностью галереи (в том числе комбинированные), прокладываемые между промышленными зданиями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50 м3 и более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7. Городские кабельные коллекторы и тоннели (в том числе комбинированные)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</w:tr>
      <w:tr w:rsidR="00D6770F">
        <w:tc>
          <w:tcPr>
            <w:tcW w:w="10725" w:type="dxa"/>
            <w:gridSpan w:val="3"/>
          </w:tcPr>
          <w:p w:rsidR="00D6770F" w:rsidRDefault="00D6770F">
            <w:pPr>
              <w:pStyle w:val="ConsPlusNormal"/>
              <w:ind w:firstLine="283"/>
            </w:pPr>
            <w:r>
              <w:t>--------------------------------</w:t>
            </w:r>
          </w:p>
          <w:p w:rsidR="00D6770F" w:rsidRDefault="00D6770F">
            <w:pPr>
              <w:pStyle w:val="ConsPlusNormal"/>
              <w:ind w:firstLine="283"/>
              <w:jc w:val="both"/>
            </w:pPr>
            <w:r>
              <w:t>&lt;1&gt; Под кабельными сооружениями в настоящих нормах понимаются тоннели, каналы, подвалы, шахты, этажи, двойные полы, галереи, камеры, используемые для прокладки электрокабелей (в том числе совместно с другими коммуникациями).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14" w:name="P226"/>
            <w:bookmarkEnd w:id="14"/>
            <w:r>
              <w:t>8. Кабельные сооружения при прокладке в них маслонаполненных кабелей в металлических трубах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9. Емкостные сооружения (резервуары) для наземного хранения легковоспламеняющихся и горючих жидкостей</w:t>
            </w:r>
          </w:p>
        </w:tc>
        <w:tc>
          <w:tcPr>
            <w:tcW w:w="5280" w:type="dxa"/>
            <w:gridSpan w:val="2"/>
            <w:vAlign w:val="center"/>
          </w:tcPr>
          <w:p w:rsidR="00D6770F" w:rsidRDefault="00D6770F">
            <w:pPr>
              <w:pStyle w:val="ConsPlusNormal"/>
              <w:jc w:val="center"/>
            </w:pPr>
            <w:r>
              <w:t>По СНиП 2.11.03-93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10. Закрытые галереи, эстакады для транспортирования лесоматериалов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длины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11. Пространства за подвесными потолками при прокладке в них воздуховодов, трубопроводов с изоляцией, выполненной из материалов группы горючести Г1 - Г4, а также кабелей (проводов), не распространяющих горение (НГ) и имеющих код </w:t>
            </w:r>
            <w:r>
              <w:lastRenderedPageBreak/>
              <w:t>пожарной опасности ПРГП1 (по НПБ 248), в том числе при их совместной прокладке &lt;1&gt;: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</w:pPr>
            <w:r>
              <w:lastRenderedPageBreak/>
              <w:t>7 и более литров на метр кабельной линии (КЛ)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both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lastRenderedPageBreak/>
              <w:t>11.1. Воздуховодов, трубопроводов или кабелей (проводов), в том числе при их совместной прокладке, с объемом горючей массы кабелей (проводов)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</w:tcPr>
          <w:p w:rsidR="00D6770F" w:rsidRDefault="00D6770F">
            <w:pPr>
              <w:pStyle w:val="ConsPlusNormal"/>
              <w:jc w:val="both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11.2. Кабелей (проводов) типа НГ с общим объемом горючей массы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</w:pPr>
            <w:r>
              <w:t>от 1,5 до 7 л на 1 метр КЛ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bottom w:val="nil"/>
            </w:tcBorders>
          </w:tcPr>
          <w:p w:rsidR="00D6770F" w:rsidRDefault="00D6770F">
            <w:pPr>
              <w:pStyle w:val="ConsPlusNormal"/>
              <w:ind w:firstLine="283"/>
            </w:pPr>
            <w:r>
              <w:t>--------------------------------</w:t>
            </w:r>
          </w:p>
          <w:p w:rsidR="00D6770F" w:rsidRDefault="00D6770F">
            <w:pPr>
              <w:pStyle w:val="ConsPlusNormal"/>
              <w:ind w:firstLine="283"/>
              <w:jc w:val="both"/>
            </w:pPr>
            <w:r>
              <w:t xml:space="preserve">&lt;1&gt; 1. Кабельные сооружения, пространства за подвесными потолками и под двойными полами автоматическими установками не оборудуются (за исключением </w:t>
            </w:r>
            <w:hyperlink w:anchor="P185" w:history="1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w:anchor="P197" w:history="1">
              <w:r>
                <w:rPr>
                  <w:color w:val="0000FF"/>
                </w:rPr>
                <w:t>3):</w:t>
              </w:r>
            </w:hyperlink>
          </w:p>
          <w:p w:rsidR="00D6770F" w:rsidRDefault="00D6770F">
            <w:pPr>
              <w:pStyle w:val="ConsPlusNormal"/>
              <w:ind w:firstLine="283"/>
              <w:jc w:val="both"/>
            </w:pPr>
            <w:r>
              <w:t>а) при прокладке кабелей (проводов) в стальных водогазопроводных трубах или стальных сплошных коробах с открываемыми сплошными крышками;</w:t>
            </w:r>
          </w:p>
          <w:p w:rsidR="00D6770F" w:rsidRDefault="00D6770F">
            <w:pPr>
              <w:pStyle w:val="ConsPlusNormal"/>
              <w:ind w:firstLine="283"/>
              <w:jc w:val="both"/>
            </w:pPr>
            <w:r>
              <w:t>б) при прокладке трубопроводов и воздухопроводов с негорючей изоляцией;</w:t>
            </w:r>
          </w:p>
          <w:p w:rsidR="00D6770F" w:rsidRDefault="00D6770F">
            <w:pPr>
              <w:pStyle w:val="ConsPlusNormal"/>
              <w:ind w:firstLine="283"/>
              <w:jc w:val="both"/>
            </w:pPr>
            <w:r>
              <w:t>в) при прокладке одиночных кабелей (проводов) типа НГ для питания цепей освещения;</w:t>
            </w:r>
          </w:p>
          <w:p w:rsidR="00D6770F" w:rsidRDefault="00D6770F">
            <w:pPr>
              <w:pStyle w:val="ConsPlusNormal"/>
              <w:ind w:firstLine="283"/>
              <w:jc w:val="both"/>
            </w:pPr>
            <w:r>
              <w:t>г) при прокладке кабелей (проводов) типа НГ с общим объемом горючей массы менее 1,5 л на КЛ за подвесными потолками, выполненными из материалов группы горючести НГ и Г1.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D6770F" w:rsidRDefault="00D6770F">
            <w:pPr>
              <w:pStyle w:val="ConsPlusNormal"/>
              <w:ind w:firstLine="283"/>
              <w:jc w:val="both"/>
            </w:pPr>
            <w:r>
              <w:t>2. В случае если здание (помещение) в целом подлежит защите АУПТ, пространства за подвесными потолками, при прокладке в них воздуховодов, трубопроводов с изоляцией, выполненной из материалов группы горючести Г1 - Г4 или кабелей (проводов) с объемом горючей массы кабелей (проводов) более 7 л на 1 метр КЛ, необходимо защищать соответствующими установками. При этом, если высота от перекрытия до подвесного потолка не превышает 0,4 м, устройство АУПТ не требуется.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6770F" w:rsidRDefault="00D6770F">
            <w:pPr>
              <w:pStyle w:val="ConsPlusNormal"/>
              <w:ind w:firstLine="283"/>
              <w:jc w:val="both"/>
            </w:pPr>
            <w:r>
              <w:t>3. Объем горючей массы изоляции кабелей (проводов) определяется по методике, утвержденной в установленном порядке.</w:t>
            </w:r>
          </w:p>
        </w:tc>
      </w:tr>
    </w:tbl>
    <w:p w:rsidR="00D6770F" w:rsidRDefault="00D6770F">
      <w:pPr>
        <w:pStyle w:val="ConsPlusNormal"/>
      </w:pPr>
    </w:p>
    <w:p w:rsidR="00D6770F" w:rsidRDefault="00D6770F">
      <w:pPr>
        <w:pStyle w:val="ConsPlusNormal"/>
        <w:jc w:val="center"/>
      </w:pPr>
      <w:bookmarkStart w:id="15" w:name="P251"/>
      <w:bookmarkEnd w:id="15"/>
      <w:r>
        <w:t>III. ПОМЕЩЕНИЯ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jc w:val="right"/>
      </w:pPr>
      <w:r>
        <w:t>Таблица 3</w:t>
      </w:r>
    </w:p>
    <w:p w:rsidR="00D6770F" w:rsidRDefault="00D6770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2640"/>
        <w:gridCol w:w="2640"/>
      </w:tblGrid>
      <w:tr w:rsidR="00D6770F">
        <w:tc>
          <w:tcPr>
            <w:tcW w:w="5445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АУПТ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АУПС</w:t>
            </w:r>
          </w:p>
        </w:tc>
      </w:tr>
      <w:tr w:rsidR="00D6770F">
        <w:tc>
          <w:tcPr>
            <w:tcW w:w="5445" w:type="dxa"/>
            <w:vMerge/>
          </w:tcPr>
          <w:p w:rsidR="00D6770F" w:rsidRDefault="00D6770F"/>
        </w:tc>
        <w:tc>
          <w:tcPr>
            <w:tcW w:w="5280" w:type="dxa"/>
            <w:gridSpan w:val="2"/>
          </w:tcPr>
          <w:p w:rsidR="00D6770F" w:rsidRDefault="00D6770F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</w:t>
            </w:r>
          </w:p>
        </w:tc>
      </w:tr>
      <w:tr w:rsidR="00D6770F">
        <w:tc>
          <w:tcPr>
            <w:tcW w:w="10725" w:type="dxa"/>
            <w:gridSpan w:val="3"/>
          </w:tcPr>
          <w:p w:rsidR="00D6770F" w:rsidRDefault="00D6770F">
            <w:pPr>
              <w:pStyle w:val="ConsPlusNormal"/>
              <w:jc w:val="center"/>
            </w:pPr>
            <w:r>
              <w:t>Помещения складского назначения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16" w:name="P263"/>
            <w:bookmarkEnd w:id="16"/>
            <w:r>
              <w:t>1. Категории А и Б по взрывопожарной опасности (кроме помещений, расположенных в зданиях и сооружениях по переработке и хранению зерна)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300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17" w:name="P266"/>
            <w:bookmarkEnd w:id="17"/>
            <w:r>
              <w:t>2. Для хранения каучука, целлулоида и изделий из него, спичек, щелочных металлов, пиротехнических изделий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18" w:name="P269"/>
            <w:bookmarkEnd w:id="18"/>
            <w:r>
              <w:t>3. Для хранения шерсти, меха и изделий из него; фото-, кино-, аудиопленки на горючей основе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4. Категории В1 по пожарной опасности (кроме указанных в п. п. 3.2, 3.3 и помещений, расположенных в зданиях и сооружениях по переработке и хранению зерна) при их размещении в этажах: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4.1. В цокольном и подвальном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4.2. В надземных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300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5. Категорий В2 - В3 по пожарной опасности (кроме указанных в </w:t>
            </w:r>
            <w:hyperlink w:anchor="P266" w:history="1">
              <w:r>
                <w:rPr>
                  <w:color w:val="0000FF"/>
                </w:rPr>
                <w:t>п. п. 2,</w:t>
              </w:r>
            </w:hyperlink>
            <w:r>
              <w:t xml:space="preserve"> </w:t>
            </w:r>
            <w:hyperlink w:anchor="P269" w:history="1">
              <w:r>
                <w:rPr>
                  <w:color w:val="0000FF"/>
                </w:rPr>
                <w:t>3</w:t>
              </w:r>
            </w:hyperlink>
            <w:r>
              <w:t xml:space="preserve"> и помещений, расположенных в зданиях и сооружениях по переработке и хранению зерна) при их размещении в этажах: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5.1. В цокольном и подвальном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5.2. В надземных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1000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1000 м2</w:t>
            </w:r>
          </w:p>
        </w:tc>
      </w:tr>
      <w:tr w:rsidR="00D6770F">
        <w:tc>
          <w:tcPr>
            <w:tcW w:w="10725" w:type="dxa"/>
            <w:gridSpan w:val="3"/>
          </w:tcPr>
          <w:p w:rsidR="00D6770F" w:rsidRDefault="00D6770F">
            <w:pPr>
              <w:pStyle w:val="ConsPlusNormal"/>
              <w:jc w:val="center"/>
            </w:pPr>
            <w:r>
              <w:t>Производственные помещения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lastRenderedPageBreak/>
              <w:t xml:space="preserve">6. Категории А и Б по взрывопожарной опасности с обращением: легковоспламеняющихся и горючих жидкостей, сжиженных горючих газов, горючих пылей и волокон (кроме указанных в </w:t>
            </w:r>
            <w:hyperlink w:anchor="P320" w:history="1">
              <w:r>
                <w:rPr>
                  <w:color w:val="0000FF"/>
                </w:rPr>
                <w:t>п. 11</w:t>
              </w:r>
            </w:hyperlink>
            <w:r>
              <w:t xml:space="preserve"> и помещений, расположенных в зданиях и сооружениях по переработке и хранению зерна)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300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7. С наличием щелочных металлов при размещении в этажах: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300 м2 и более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Менее 300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7.1. В цокольном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7.2. В надземных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500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500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8. Категории В1 по пожарной опасности (кроме помещений, расположенных в зданиях и сооружениях по переработке и хранению зерна) при размещении в этажах: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8.1. В цокольном и подвальном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8.2. В надземных (кроме указанных в </w:t>
            </w:r>
            <w:hyperlink w:anchor="P320" w:history="1">
              <w:r>
                <w:rPr>
                  <w:color w:val="0000FF"/>
                </w:rPr>
                <w:t>п. п. 11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18)</w:t>
              </w:r>
            </w:hyperlink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300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9. Категории В2 - В3 по пожарной опасности (кроме указанных в п. </w:t>
            </w:r>
            <w:hyperlink w:anchor="P317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18</w:t>
              </w:r>
            </w:hyperlink>
            <w:r>
              <w:t xml:space="preserve"> и помещений, расположенных в зданиях и сооружениях по переработке и хранению зерна) при их размещении в этажах: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9.1. В цокольном и подвальном: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9.1.1. Не имеющие выходов непосредственно наружу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300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9.1.2. При наличии выходов непосредственно наружу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700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700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9.2. В надземных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1000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1000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bookmarkStart w:id="19" w:name="P317"/>
            <w:bookmarkEnd w:id="19"/>
            <w:r>
              <w:lastRenderedPageBreak/>
              <w:t>10. Маслоподвалы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0" w:name="P320"/>
            <w:bookmarkEnd w:id="20"/>
            <w:r>
              <w:t>11. Помещения приготовления: суспензии из алюминиевой пудры, резиновых клеев; на основе ЛВЖ и ГЖ: лаков, красок, клеев, мастик, пропиточных составов; помещения окрасочных, полимеризации синтетического каучука, компрессорных с газотурбинными двигателями, огневых подогревателей нефти. Помещения с генераторами с приводом от двигателей, работающих на жидком топливе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12. Помещения высоковольтных испытательных залов, помещения, экранированные горючими материалами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10725" w:type="dxa"/>
            <w:gridSpan w:val="3"/>
          </w:tcPr>
          <w:p w:rsidR="00D6770F" w:rsidRDefault="00D6770F">
            <w:pPr>
              <w:pStyle w:val="ConsPlusNormal"/>
              <w:jc w:val="center"/>
            </w:pPr>
            <w:r>
              <w:t>Помещения связи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13. Вентиляционные, трансформаторные помещения, помещения разделительных устройств: передающих радиостанций мощностью передатчиков 150 кВт и выше, приемных радиостанций с числом приемников от 20, стационарных станций космической связи с мощностью передающего устройства более 1 кВт, ретрансляционных телевизионных станций мощностью передатчиков 25 - 50 кВт, сетевых узлов, междугородных и городских телефонных станций, телеграфных станций, оконечных усилительных пунктов и районных узлов связи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1" w:name="P330"/>
            <w:bookmarkEnd w:id="21"/>
            <w:r>
              <w:t>14. Необслуживаемые и обслуживаемые без вечерних и ночных смен: технические цехи оконечных усилительных пунктов, промежуточных радиорелейных станций, передающих и приемных радиоцентров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2" w:name="P333"/>
            <w:bookmarkEnd w:id="22"/>
            <w:r>
              <w:t xml:space="preserve">15. Необслуживаемые аппаратные базовых станций сотовой системы подвижной радиосвязи и аппаратные </w:t>
            </w:r>
            <w:r>
              <w:lastRenderedPageBreak/>
              <w:t>радиорелейных станций сотовой системы подвижной радиосвязи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lastRenderedPageBreak/>
              <w:t>24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24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lastRenderedPageBreak/>
              <w:t>16. Помещения главных касс, помещения бюро контроля переводов и зональных вычислительных центров почтамтов, городских и районных узлов почтовой связи общим объемом зданий: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bookmarkStart w:id="23" w:name="P339"/>
            <w:bookmarkEnd w:id="23"/>
            <w:r>
              <w:t>16.1. 40 тыс. м3 и более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16.2. Менее 40 тыс. м3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17. Автозалы АТС, где устанавливается коммутационное оборудование квазиэлектронного и электронного типов совместно с ЭВМ, используемой в качестве управляющего комплекса, устройствами ввода-вывода, помещения электронных коммутационных станций, узлов, центров документальной электросвязи емкостью: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4" w:name="P346"/>
            <w:bookmarkEnd w:id="24"/>
            <w:r>
              <w:t>17.1. 10 тыс. и более номеров, каналов или точек подключения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17.2. Менее 10 тыс. номеров, каналов или точек подключения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5" w:name="P350"/>
            <w:bookmarkEnd w:id="25"/>
            <w:r>
              <w:t>18. Выделенные помещения управляющих устройств на основе ЭВМ автоматических междугородных телефонных станций при емкости станций: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24 м2 и более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Менее 24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18.1. 10 тыс. междугородных каналов и более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18.2. Менее 10 тыс. междугородных каналов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6" w:name="P357"/>
            <w:bookmarkEnd w:id="26"/>
            <w:r>
              <w:t xml:space="preserve">19. Помещения обработки, сортировки, хранения и доставки посылок, письменной корреспонденции, </w:t>
            </w:r>
            <w:r>
              <w:lastRenderedPageBreak/>
              <w:t>периодической печати, страховой почты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lastRenderedPageBreak/>
              <w:t>500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500 м2</w:t>
            </w:r>
          </w:p>
        </w:tc>
      </w:tr>
      <w:tr w:rsidR="00D6770F">
        <w:tc>
          <w:tcPr>
            <w:tcW w:w="10725" w:type="dxa"/>
            <w:gridSpan w:val="3"/>
          </w:tcPr>
          <w:p w:rsidR="00D6770F" w:rsidRDefault="00D6770F">
            <w:pPr>
              <w:pStyle w:val="ConsPlusNormal"/>
              <w:jc w:val="center"/>
            </w:pPr>
            <w:r>
              <w:lastRenderedPageBreak/>
              <w:t>Помещения транспорта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7" w:name="P361"/>
            <w:bookmarkEnd w:id="27"/>
            <w:r>
              <w:t>20. Электромашинные, аппаратные, ремонтные, тележечные и колесные, разборки и сборки вагонов, ремонтно-комплектовочные, электровагонные, подготовки вагонов, дизельные, технического обслуживания подвижного состава, контейнерных депо, производства стрелочной продукции, горячей обработки цистерн, тепловой камеры обработки вагонов для нефтебитума, шпалопропиточные, цилиндровые, отстоя пропитанной древесины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21. Наземные и подземные помещения и сооружения метрополитенов и подземных скоростных трамваев</w:t>
            </w:r>
          </w:p>
        </w:tc>
        <w:tc>
          <w:tcPr>
            <w:tcW w:w="5280" w:type="dxa"/>
            <w:gridSpan w:val="2"/>
          </w:tcPr>
          <w:p w:rsidR="00D6770F" w:rsidRDefault="00D6770F">
            <w:pPr>
              <w:pStyle w:val="ConsPlusNormal"/>
              <w:jc w:val="center"/>
            </w:pPr>
            <w:r>
              <w:t>По нормативным документам субъектов Российской Федерации, утвержденным в установленном порядке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22. Помещения контрольно-диспетчерского пункта с автоматической системой, центра коммутации сообщений, дальних и ближних приводных радиостанций с радиомаркерами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23. Помещения демонтажа и монтажа авиадвигателей, воздушных винтов, шасси и колес самолетов и вертолетов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24. Помещения самолетного и двигателеремонтного производств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25. Помещения для хранения транспортных средств, размещаемые в зданиях иного назначения (за исключением индивидуальных жилых домов) при их расположении:</w:t>
            </w:r>
          </w:p>
        </w:tc>
        <w:tc>
          <w:tcPr>
            <w:tcW w:w="2640" w:type="dxa"/>
            <w:tcBorders>
              <w:bottom w:val="nil"/>
            </w:tcBorders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25.1. В подвальных и подземных этажах (в том числе </w:t>
            </w:r>
            <w:r>
              <w:lastRenderedPageBreak/>
              <w:t>под мостами)</w:t>
            </w:r>
          </w:p>
        </w:tc>
        <w:tc>
          <w:tcPr>
            <w:tcW w:w="2640" w:type="dxa"/>
            <w:tcBorders>
              <w:top w:val="nil"/>
            </w:tcBorders>
          </w:tcPr>
          <w:p w:rsidR="00D6770F" w:rsidRDefault="00D6770F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lastRenderedPageBreak/>
              <w:t>25.2. В цокольных и надземных этажах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При хранении 3 и более автомобилей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При хранении менее 3 автомобилей</w:t>
            </w:r>
          </w:p>
        </w:tc>
      </w:tr>
      <w:tr w:rsidR="00D6770F">
        <w:tc>
          <w:tcPr>
            <w:tcW w:w="10725" w:type="dxa"/>
            <w:gridSpan w:val="3"/>
          </w:tcPr>
          <w:p w:rsidR="00D6770F" w:rsidRDefault="00D6770F">
            <w:pPr>
              <w:pStyle w:val="ConsPlusNormal"/>
              <w:jc w:val="center"/>
            </w:pPr>
            <w:r>
              <w:t>Общественные помещения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8" w:name="P384"/>
            <w:bookmarkEnd w:id="28"/>
            <w:r>
              <w:t>26. Помещения хранения и выдачи уникальных изданий, отчетов, рукописей и другой документации особой ценности (в том числе архивов операционных отделов)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27. Помещения хранилищ и помещения хранения служебных каталогов и описей в библиотеках и архивах с общим фондом хранения: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27.1. 500 тыс. единиц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27.2. Менее 500 тыс. единиц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28. Выставочные залы &lt;1&gt;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1000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1000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29" w:name="P399"/>
            <w:bookmarkEnd w:id="29"/>
            <w:r>
              <w:t>29. Помещения хранения музейных ценностей &lt;1&gt;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30. В зданиях культурно-зрелищного назначения: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30.1. В кинотеатрах и клубах с эстрадами при вместимости зала более 700 мест при наличии колосников &lt;2&gt;;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30.2. В клубах со сценами размерами, м: 12,5 x 7,5; 15 x 7,5, 18 x 9 и 21 x 12 при вместимости зала до 700 мест &lt;2&gt;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 xml:space="preserve">30.3. В клубах со сценами размерами 18 x 9; 21 x 12 при вместимости зрительного зала более 700 мест, со </w:t>
            </w:r>
            <w:r>
              <w:lastRenderedPageBreak/>
              <w:t>сценами 18 x 12 и 21 x 15 независимо от вместимости, а также в театрах &lt;2&gt;, &lt;3&gt;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bottom w:val="nil"/>
            </w:tcBorders>
          </w:tcPr>
          <w:p w:rsidR="00D6770F" w:rsidRDefault="00D6770F">
            <w:pPr>
              <w:pStyle w:val="ConsPlusNormal"/>
              <w:ind w:firstLine="283"/>
            </w:pPr>
            <w:r>
              <w:lastRenderedPageBreak/>
              <w:t>--------------------------------</w:t>
            </w:r>
          </w:p>
          <w:p w:rsidR="00D6770F" w:rsidRDefault="00D6770F">
            <w:pPr>
              <w:pStyle w:val="ConsPlusNormal"/>
              <w:ind w:firstLine="283"/>
              <w:jc w:val="both"/>
            </w:pPr>
            <w:r>
              <w:t>&lt;1&gt; Данное требование не распространяется на помещения, временно используемые для выставок (фойе, вестибюли и т.д.), а также на помещения, где хранение ценностей производится в металлических сейфах.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D6770F" w:rsidRDefault="00D6770F">
            <w:pPr>
              <w:pStyle w:val="ConsPlusNormal"/>
              <w:ind w:firstLine="283"/>
              <w:jc w:val="both"/>
            </w:pPr>
            <w:r>
              <w:t>&lt;2&gt; Дренчеры устанавливаются под колосниками сцены и арьерсцены, под нижним ярусом рабочих галерей и соединяющими их нижними переходными мостиками, в сейфах скатанных декораций и во всех проемах сцены, включая проемы портала, карманов и арьерсцены, а также части трюма, занятой конструкциями встроенного оборудования сцены и подъемно-опускных устройств.</w:t>
            </w:r>
          </w:p>
        </w:tc>
      </w:tr>
      <w:tr w:rsidR="00D6770F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D6770F" w:rsidRDefault="00D6770F">
            <w:pPr>
              <w:pStyle w:val="ConsPlusNormal"/>
              <w:ind w:firstLine="283"/>
              <w:jc w:val="both"/>
            </w:pPr>
            <w:r>
              <w:t>&lt;3&gt; Спринклерными установками оборудуются: покрытия сцены и арьерсцены, все рабочие галереи и переходные мостики, кроме нижних, трюм (кроме встроенного оборудования сцены), карманы сцены, арьерсцена, а также складские помещения, кладовые, мастерские, помещения станковых и объемных декораций, камера пылеудаления.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30.4. В концертных и киноконцертных залах филармоний вместимостью 800 мест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30.5. Склады декораций, бутафории и реквизита, столярные мастерские, фуражные, инвентарные и хозяйственные кладовые, помещения хранения и изготовления рекламы, помещения производственного назначения и обслуживания сцены, помещения для животных, чердачное подкупольное пространство над зрительным залом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31. Помещения хранилищ ценностей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31.1. В банках</w:t>
            </w:r>
          </w:p>
        </w:tc>
        <w:tc>
          <w:tcPr>
            <w:tcW w:w="5280" w:type="dxa"/>
            <w:gridSpan w:val="2"/>
          </w:tcPr>
          <w:p w:rsidR="00D6770F" w:rsidRDefault="00D6770F">
            <w:pPr>
              <w:pStyle w:val="ConsPlusNormal"/>
              <w:jc w:val="center"/>
            </w:pPr>
            <w:r>
              <w:t>По ВНП 001-95/Банк России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31.2. В ломбардах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30" w:name="P430"/>
            <w:bookmarkEnd w:id="30"/>
            <w:r>
              <w:t>32. Съемочные павильоны киностудий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1000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1000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lastRenderedPageBreak/>
              <w:t>33. Помещения (камеры) хранения багажа ручной клади (кроме оборудованных автоматическими ячейками) и склады горючих материалов в зданиях вокзалов (в том числе аэровокзалов) в этажах: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33.1. В цокольном и подвальном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33.2. В надземных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300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34. Помещения для хранения горючих материалов или негорючих материалов в горючей упаковке, при расположении их: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34.1. Под трибунами любой вместимости в крытых спортивных сооружениях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100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100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34.2. В зданиях крытых спортивных сооружений вместимостью 800 и более зрителей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34.3. Под трибунами вместимостью 3000 и более зрителей при открытых спортивных сооружениях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</w:tr>
      <w:tr w:rsidR="00D6770F">
        <w:tc>
          <w:tcPr>
            <w:tcW w:w="5445" w:type="dxa"/>
            <w:tcBorders>
              <w:bottom w:val="nil"/>
            </w:tcBorders>
          </w:tcPr>
          <w:p w:rsidR="00D6770F" w:rsidRDefault="00D6770F">
            <w:pPr>
              <w:pStyle w:val="ConsPlusNormal"/>
            </w:pPr>
            <w:r>
              <w:t>35. Помещения для размещения: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  <w:tcBorders>
              <w:top w:val="nil"/>
            </w:tcBorders>
          </w:tcPr>
          <w:p w:rsidR="00D6770F" w:rsidRDefault="00D6770F">
            <w:pPr>
              <w:pStyle w:val="ConsPlusNormal"/>
              <w:jc w:val="both"/>
            </w:pPr>
            <w:r>
              <w:t>35.1. Электронно-вычислительных машин (ЭВМ), работающих в системах управления сложными технологическими процессами, нарушение которых влияет на безопасность людей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35.2. Связных процессоров (серверные), архивов магнитных и бумажных носителей, графопостроителей, печати информации на бумажных носителях (принтерные)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24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24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35.3. Для размещения персональных ЭВМ на рабочих столах пользователей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lastRenderedPageBreak/>
              <w:t>36. Помещения предприятий торговли, встроенные в здания другого назначения: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200 м2 и более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Менее 200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36.1. Подвальные и цокольные этажи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36.2. Надземные этажи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500 м2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Менее 500 м2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37. Помещения производственного и складского назначения, расположенные в научно-исследовательских учреждениях и других общественных зданиях</w:t>
            </w:r>
          </w:p>
        </w:tc>
        <w:tc>
          <w:tcPr>
            <w:tcW w:w="5280" w:type="dxa"/>
            <w:gridSpan w:val="2"/>
          </w:tcPr>
          <w:p w:rsidR="00D6770F" w:rsidRDefault="00D6770F">
            <w:pPr>
              <w:pStyle w:val="ConsPlusNormal"/>
              <w:jc w:val="center"/>
            </w:pPr>
            <w:r>
              <w:t>Оборудуются в соответствии с табл. 3 настоящих норм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31" w:name="P471"/>
            <w:bookmarkEnd w:id="31"/>
            <w:r>
              <w:t>38. Помещения иного административного и общественного назначения, в том числе встроенные и пристроенные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</w:tbl>
    <w:p w:rsidR="00D6770F" w:rsidRDefault="00D6770F">
      <w:pPr>
        <w:pStyle w:val="ConsPlusNormal"/>
      </w:pPr>
    </w:p>
    <w:p w:rsidR="00D6770F" w:rsidRDefault="00D6770F">
      <w:pPr>
        <w:pStyle w:val="ConsPlusNormal"/>
        <w:jc w:val="center"/>
      </w:pPr>
      <w:r>
        <w:t>IV. ОБОРУДОВАНИЕ</w:t>
      </w:r>
    </w:p>
    <w:p w:rsidR="00D6770F" w:rsidRDefault="00D6770F">
      <w:pPr>
        <w:pStyle w:val="ConsPlusNormal"/>
      </w:pPr>
    </w:p>
    <w:p w:rsidR="00D6770F" w:rsidRDefault="00D6770F">
      <w:pPr>
        <w:pStyle w:val="ConsPlusNormal"/>
        <w:jc w:val="right"/>
      </w:pPr>
      <w:r>
        <w:t>Таблица 4</w:t>
      </w:r>
    </w:p>
    <w:p w:rsidR="00D6770F" w:rsidRDefault="00D6770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2640"/>
        <w:gridCol w:w="2640"/>
      </w:tblGrid>
      <w:tr w:rsidR="00D6770F">
        <w:tc>
          <w:tcPr>
            <w:tcW w:w="5445" w:type="dxa"/>
            <w:vMerge w:val="restart"/>
          </w:tcPr>
          <w:p w:rsidR="00D6770F" w:rsidRDefault="00D6770F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АУПТ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АУПС</w:t>
            </w:r>
          </w:p>
        </w:tc>
      </w:tr>
      <w:tr w:rsidR="00D6770F">
        <w:tc>
          <w:tcPr>
            <w:tcW w:w="5445" w:type="dxa"/>
            <w:vMerge/>
          </w:tcPr>
          <w:p w:rsidR="00D6770F" w:rsidRDefault="00D6770F"/>
        </w:tc>
        <w:tc>
          <w:tcPr>
            <w:tcW w:w="5280" w:type="dxa"/>
            <w:gridSpan w:val="2"/>
          </w:tcPr>
          <w:p w:rsidR="00D6770F" w:rsidRDefault="00D6770F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</w:t>
            </w: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bookmarkStart w:id="32" w:name="P486"/>
            <w:bookmarkEnd w:id="32"/>
            <w:r>
              <w:t>1. Окрасочные камеры с применением ЛВЖ и ГЖ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типа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2. Сушильные камеры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3. Циклоны (бункеры) для сбора горючих отходов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4. Трансформаторы и реакторы:</w:t>
            </w:r>
          </w:p>
        </w:tc>
        <w:tc>
          <w:tcPr>
            <w:tcW w:w="2640" w:type="dxa"/>
            <w:vMerge w:val="restart"/>
            <w:vAlign w:val="bottom"/>
          </w:tcPr>
          <w:p w:rsidR="00D6770F" w:rsidRDefault="00D6770F">
            <w:pPr>
              <w:pStyle w:val="ConsPlusNormal"/>
              <w:jc w:val="center"/>
            </w:pPr>
            <w:r>
              <w:t>Независимо от мощности</w:t>
            </w:r>
          </w:p>
        </w:tc>
        <w:tc>
          <w:tcPr>
            <w:tcW w:w="2640" w:type="dxa"/>
            <w:vMerge w:val="restart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</w:pPr>
            <w:r>
              <w:t>4.1. Напряжением 500 кВ и выше</w:t>
            </w:r>
          </w:p>
        </w:tc>
        <w:tc>
          <w:tcPr>
            <w:tcW w:w="2640" w:type="dxa"/>
            <w:vMerge/>
          </w:tcPr>
          <w:p w:rsidR="00D6770F" w:rsidRDefault="00D6770F"/>
        </w:tc>
        <w:tc>
          <w:tcPr>
            <w:tcW w:w="2640" w:type="dxa"/>
            <w:vMerge/>
          </w:tcPr>
          <w:p w:rsidR="00D6770F" w:rsidRDefault="00D6770F"/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lastRenderedPageBreak/>
              <w:t>4.2. Напряжением 220 - 330 кВ и выше, мощностью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200 МВА и выше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4.3. Напряжением 110 кВ и выше, установленные у здания гидроэлектростанций, с единичной мощностью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63 МВА и выше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4.4. Напряжением 110 кВ и выше, установленные в камерах закрытых подстанций глубокого ввода и в закрытых распределительных установках электростанций и подстанций, мощностью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63 МВА и выше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5. Испытательные станции передвижных электростанций и агрегатов с дизель- и бензоэлектрическими агрегатами, смонтированными на автомашинах и прицепах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6. Стеллажи высотой более 5,5 м для хранения горючих материалов и негорючих материалов в горючей упаковке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  <w:tr w:rsidR="00D6770F">
        <w:tc>
          <w:tcPr>
            <w:tcW w:w="5445" w:type="dxa"/>
          </w:tcPr>
          <w:p w:rsidR="00D6770F" w:rsidRDefault="00D6770F">
            <w:pPr>
              <w:pStyle w:val="ConsPlusNormal"/>
              <w:jc w:val="both"/>
            </w:pPr>
            <w:r>
              <w:t>7. Масляные емкости для закаливания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  <w:r>
              <w:t>3 м3 и более</w:t>
            </w:r>
          </w:p>
        </w:tc>
        <w:tc>
          <w:tcPr>
            <w:tcW w:w="2640" w:type="dxa"/>
          </w:tcPr>
          <w:p w:rsidR="00D6770F" w:rsidRDefault="00D6770F">
            <w:pPr>
              <w:pStyle w:val="ConsPlusNormal"/>
              <w:jc w:val="center"/>
            </w:pPr>
          </w:p>
        </w:tc>
      </w:tr>
    </w:tbl>
    <w:p w:rsidR="00D6770F" w:rsidRDefault="00D6770F">
      <w:pPr>
        <w:pStyle w:val="ConsPlusNormal"/>
      </w:pPr>
    </w:p>
    <w:p w:rsidR="00D6770F" w:rsidRDefault="00D6770F">
      <w:pPr>
        <w:pStyle w:val="ConsPlusNormal"/>
      </w:pPr>
    </w:p>
    <w:p w:rsidR="00D6770F" w:rsidRDefault="00D67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44D" w:rsidRDefault="00F9044D"/>
    <w:sectPr w:rsidR="00F9044D" w:rsidSect="00341DA4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characterSpacingControl w:val="doNotCompress"/>
  <w:compat/>
  <w:rsids>
    <w:rsidRoot w:val="00D6770F"/>
    <w:rsid w:val="00D6770F"/>
    <w:rsid w:val="00F9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D02ADE489B2C2A88DE6C6E35FDE039D3374E09D49DB577DAE85487916d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4D02ADE489B2C2A88DE6C6E35FDE039D3570E59344DB577DAE8548796C91F5AEC8B672794536E611d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D02ADE489B2C2A88DE6C6E35FDE03983271E5924B865D75F7894A7E63CEE2A981BA737945341Ed2J" TargetMode="External"/><Relationship Id="rId5" Type="http://schemas.openxmlformats.org/officeDocument/2006/relationships/hyperlink" Target="consultantplus://offline/ref=BA4D02ADE489B2C2A88DE6C6E35FDE039D3675E59346DB577DAE8548796C91F5AEC8B672794535E111d6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4091</Words>
  <Characters>23321</Characters>
  <Application>Microsoft Office Word</Application>
  <DocSecurity>0</DocSecurity>
  <Lines>194</Lines>
  <Paragraphs>54</Paragraphs>
  <ScaleCrop>false</ScaleCrop>
  <Company>БИ УДЦ</Company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2</cp:revision>
  <dcterms:created xsi:type="dcterms:W3CDTF">2016-03-14T09:29:00Z</dcterms:created>
  <dcterms:modified xsi:type="dcterms:W3CDTF">2016-03-14T09:30:00Z</dcterms:modified>
</cp:coreProperties>
</file>